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D6" w:rsidRDefault="00F66CD6" w:rsidP="00F66CD6">
      <w:pPr>
        <w:pStyle w:val="NormalWeb"/>
        <w:spacing w:after="0" w:afterAutospacing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CF6F3F" w:rsidRDefault="00CF6F3F" w:rsidP="00F66CD6">
      <w:pPr>
        <w:pStyle w:val="NormalWeb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82702">
        <w:rPr>
          <w:rFonts w:ascii="Verdana" w:hAnsi="Verdana"/>
          <w:b/>
          <w:bCs/>
          <w:color w:val="000000"/>
          <w:sz w:val="22"/>
          <w:szCs w:val="22"/>
        </w:rPr>
        <w:t xml:space="preserve">ACTA REUNIÓN CONSULTIVO </w:t>
      </w:r>
      <w:r w:rsidR="00067AF3">
        <w:rPr>
          <w:rFonts w:ascii="Verdana" w:hAnsi="Verdana"/>
          <w:b/>
          <w:bCs/>
          <w:color w:val="000000"/>
          <w:sz w:val="22"/>
          <w:szCs w:val="22"/>
        </w:rPr>
        <w:t xml:space="preserve">AMPLIADO </w:t>
      </w:r>
      <w:r w:rsidRPr="00882702">
        <w:rPr>
          <w:rFonts w:ascii="Verdana" w:hAnsi="Verdana"/>
          <w:b/>
          <w:bCs/>
          <w:color w:val="000000"/>
          <w:sz w:val="22"/>
          <w:szCs w:val="22"/>
        </w:rPr>
        <w:t>O</w:t>
      </w:r>
      <w:r w:rsidR="00067AF3">
        <w:rPr>
          <w:rFonts w:ascii="Verdana" w:hAnsi="Verdana"/>
          <w:b/>
          <w:bCs/>
          <w:color w:val="000000"/>
          <w:sz w:val="22"/>
          <w:szCs w:val="22"/>
        </w:rPr>
        <w:t xml:space="preserve">RGANISMOS </w:t>
      </w:r>
      <w:r w:rsidRPr="00882702">
        <w:rPr>
          <w:rFonts w:ascii="Verdana" w:hAnsi="Verdana"/>
          <w:b/>
          <w:bCs/>
          <w:color w:val="000000"/>
          <w:sz w:val="22"/>
          <w:szCs w:val="22"/>
        </w:rPr>
        <w:t>C</w:t>
      </w:r>
      <w:r w:rsidR="00F66CD6">
        <w:rPr>
          <w:rFonts w:ascii="Verdana" w:hAnsi="Verdana"/>
          <w:b/>
          <w:bCs/>
          <w:color w:val="000000"/>
          <w:sz w:val="22"/>
          <w:szCs w:val="22"/>
        </w:rPr>
        <w:t>OLABORADORES DE</w:t>
      </w:r>
      <w:r w:rsidR="002B740A">
        <w:rPr>
          <w:rFonts w:ascii="Verdana" w:hAnsi="Verdana"/>
          <w:b/>
          <w:bCs/>
          <w:color w:val="000000"/>
          <w:sz w:val="22"/>
          <w:szCs w:val="22"/>
        </w:rPr>
        <w:t>L</w:t>
      </w:r>
      <w:r w:rsidR="00F66CD6">
        <w:rPr>
          <w:rFonts w:ascii="Verdana" w:hAnsi="Verdana"/>
          <w:b/>
          <w:bCs/>
          <w:color w:val="000000"/>
          <w:sz w:val="22"/>
          <w:szCs w:val="22"/>
        </w:rPr>
        <w:t xml:space="preserve"> SENAME</w:t>
      </w:r>
    </w:p>
    <w:p w:rsidR="00F66CD6" w:rsidRPr="00882702" w:rsidRDefault="00F66CD6" w:rsidP="00F66CD6">
      <w:pPr>
        <w:pStyle w:val="NormalWeb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CF6F3F" w:rsidRDefault="00CF6F3F" w:rsidP="00F6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Fecha: 25 de </w:t>
      </w:r>
      <w:r w:rsidR="00F66CD6" w:rsidRP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abril de</w:t>
      </w:r>
      <w:r w:rsidRP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2024</w:t>
      </w:r>
    </w:p>
    <w:p w:rsidR="00380193" w:rsidRDefault="00902705" w:rsidP="00F6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Hora:</w:t>
      </w:r>
      <w:r w:rsidR="003801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15.30- 18:00 horas</w:t>
      </w:r>
    </w:p>
    <w:p w:rsidR="00F66CD6" w:rsidRPr="00122D53" w:rsidRDefault="002B740A" w:rsidP="00F6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Lugar: Dirección n</w:t>
      </w:r>
      <w:r w:rsid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acional de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Huérfanos 587.</w:t>
      </w:r>
    </w:p>
    <w:p w:rsidR="00F66CD6" w:rsidRPr="00122D53" w:rsidRDefault="00CF6F3F" w:rsidP="00F6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Participantes:</w:t>
      </w:r>
    </w:p>
    <w:p w:rsidR="006B036C" w:rsidRPr="00122D53" w:rsidRDefault="00481A00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María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Eugenia </w:t>
      </w:r>
      <w:r w:rsidR="00EE3CDE" w:rsidRPr="00122D53">
        <w:rPr>
          <w:rFonts w:asciiTheme="minorHAnsi" w:hAnsiTheme="minorHAnsi" w:cstheme="minorHAnsi"/>
          <w:color w:val="000000"/>
          <w:sz w:val="22"/>
          <w:szCs w:val="22"/>
        </w:rPr>
        <w:t>Fernández –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 xml:space="preserve"> directora n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>acional de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ename</w:t>
      </w:r>
      <w:proofErr w:type="spellEnd"/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B036C" w:rsidRPr="00122D53" w:rsidRDefault="00CF6F3F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Rocío </w:t>
      </w:r>
      <w:proofErr w:type="spellStart"/>
      <w:r w:rsidRPr="00122D53">
        <w:rPr>
          <w:rFonts w:asciiTheme="minorHAnsi" w:hAnsiTheme="minorHAnsi" w:cstheme="minorHAnsi"/>
          <w:color w:val="000000"/>
          <w:sz w:val="22"/>
          <w:szCs w:val="22"/>
        </w:rPr>
        <w:t>Faú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ndez</w:t>
      </w:r>
      <w:proofErr w:type="spellEnd"/>
      <w:r w:rsidR="002B740A">
        <w:rPr>
          <w:rFonts w:asciiTheme="minorHAnsi" w:hAnsiTheme="minorHAnsi" w:cstheme="minorHAnsi"/>
          <w:color w:val="000000"/>
          <w:sz w:val="22"/>
          <w:szCs w:val="22"/>
        </w:rPr>
        <w:t xml:space="preserve"> – d</w:t>
      </w:r>
      <w:r w:rsidR="00D161AB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irectora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Servicio </w:t>
      </w:r>
      <w:r w:rsidR="00D161AB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Nacional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Reinserción Social Juvenil.</w:t>
      </w:r>
    </w:p>
    <w:p w:rsidR="00CF6F3F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Paula Urzú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>a Freir</w:t>
      </w:r>
      <w:r>
        <w:rPr>
          <w:rFonts w:asciiTheme="minorHAnsi" w:hAnsiTheme="minorHAnsi" w:cstheme="minorHAnsi"/>
          <w:color w:val="000000"/>
          <w:sz w:val="22"/>
          <w:szCs w:val="22"/>
        </w:rPr>
        <w:t>e – gabinete directora n</w:t>
      </w:r>
      <w:r w:rsidR="00D161AB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acional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B036C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María Luisa Montenegro - g</w:t>
      </w:r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abinete </w:t>
      </w:r>
      <w:r>
        <w:rPr>
          <w:rFonts w:asciiTheme="minorHAnsi" w:hAnsiTheme="minorHAnsi" w:cstheme="minorHAnsi"/>
          <w:color w:val="000000"/>
          <w:sz w:val="22"/>
          <w:szCs w:val="22"/>
        </w:rPr>
        <w:t>directora n</w:t>
      </w:r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acional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B325B" w:rsidRPr="00122D53" w:rsidRDefault="008B325B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Carolina Vidal –</w:t>
      </w:r>
      <w:r w:rsidR="00845B83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380193">
        <w:rPr>
          <w:rFonts w:asciiTheme="minorHAnsi" w:hAnsiTheme="minorHAnsi" w:cstheme="minorHAnsi"/>
          <w:color w:val="000000"/>
          <w:sz w:val="22"/>
          <w:szCs w:val="22"/>
        </w:rPr>
        <w:t xml:space="preserve">efa (S) 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departamento de administración y f</w:t>
      </w:r>
      <w:r w:rsidR="00845B83" w:rsidRPr="00122D53">
        <w:rPr>
          <w:rFonts w:asciiTheme="minorHAnsi" w:hAnsiTheme="minorHAnsi" w:cstheme="minorHAnsi"/>
          <w:color w:val="000000"/>
          <w:sz w:val="22"/>
          <w:szCs w:val="22"/>
        </w:rPr>
        <w:t>inanzas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6F3F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Cecilia Salinas – jefa departamento justicia juvenil del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6F3F" w:rsidRPr="00122D53" w:rsidRDefault="00481A00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Virginia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Mella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Pérez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D161AB" w:rsidRPr="00122D53">
        <w:rPr>
          <w:rFonts w:asciiTheme="minorHAnsi" w:hAnsiTheme="minorHAnsi" w:cstheme="minorHAnsi"/>
          <w:color w:val="000000"/>
          <w:sz w:val="22"/>
          <w:szCs w:val="22"/>
        </w:rPr>
        <w:t>rofesional</w:t>
      </w:r>
      <w:r w:rsidR="00CF6F3F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departamento justicia j</w:t>
      </w:r>
      <w:r w:rsidR="00E445B0" w:rsidRPr="00122D53">
        <w:rPr>
          <w:rFonts w:asciiTheme="minorHAnsi" w:hAnsiTheme="minorHAnsi" w:cstheme="minorHAnsi"/>
          <w:color w:val="000000"/>
          <w:sz w:val="22"/>
          <w:szCs w:val="22"/>
        </w:rPr>
        <w:t>uvenil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6F3F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Osvaldo Vásquez – Corporación Opción.</w:t>
      </w:r>
    </w:p>
    <w:p w:rsidR="00067AF3" w:rsidRPr="00122D53" w:rsidRDefault="00067AF3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Daniela Leal – 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 xml:space="preserve">Fundación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DEM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F3" w:rsidRPr="00122D53" w:rsidRDefault="00067AF3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Andrés 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González – Fundación D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F3" w:rsidRPr="00122D53" w:rsidRDefault="00067AF3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Alejandra Ríos – ONG Proyecta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F3" w:rsidRPr="00122D53" w:rsidRDefault="00067AF3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Casandra Ríos – </w:t>
      </w:r>
      <w:proofErr w:type="spellStart"/>
      <w:r w:rsidRPr="00122D53">
        <w:rPr>
          <w:rFonts w:asciiTheme="minorHAnsi" w:hAnsiTheme="minorHAnsi" w:cstheme="minorHAnsi"/>
          <w:color w:val="000000"/>
          <w:sz w:val="22"/>
          <w:szCs w:val="22"/>
        </w:rPr>
        <w:t>Serpaj</w:t>
      </w:r>
      <w:proofErr w:type="spellEnd"/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Chile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F3" w:rsidRPr="00122D53" w:rsidRDefault="00067AF3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Bernardo Vásquez – </w:t>
      </w:r>
      <w:r w:rsidR="00902705">
        <w:rPr>
          <w:rFonts w:asciiTheme="minorHAnsi" w:hAnsiTheme="minorHAnsi" w:cstheme="minorHAnsi"/>
          <w:color w:val="000000"/>
          <w:sz w:val="22"/>
          <w:szCs w:val="22"/>
        </w:rPr>
        <w:t xml:space="preserve">Fundación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Reinventarse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F3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Jorge Luis Leiva – Fundación</w:t>
      </w:r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Tierra de Esperanza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45B83" w:rsidRPr="00122D53" w:rsidRDefault="006B036C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Augusto Fernández – ACJ Valparaíso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67AF3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Yerka Aguilera – Corporación</w:t>
      </w:r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>Llequén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B036C" w:rsidRPr="00122D53" w:rsidRDefault="002B740A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Cristián Sepúlveda - Corporación</w:t>
      </w:r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B036C" w:rsidRPr="00122D53">
        <w:rPr>
          <w:rFonts w:asciiTheme="minorHAnsi" w:hAnsiTheme="minorHAnsi" w:cstheme="minorHAnsi"/>
          <w:color w:val="000000"/>
          <w:sz w:val="22"/>
          <w:szCs w:val="22"/>
        </w:rPr>
        <w:t>Llequén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B036C" w:rsidRPr="00122D53" w:rsidRDefault="006B036C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Claudi</w:t>
      </w:r>
      <w:r w:rsidR="00902705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 xml:space="preserve"> Jeria – ACJ </w:t>
      </w:r>
      <w:r w:rsidRPr="00122D53">
        <w:rPr>
          <w:rFonts w:asciiTheme="minorHAnsi" w:hAnsiTheme="minorHAnsi" w:cstheme="minorHAnsi"/>
          <w:color w:val="000000"/>
          <w:sz w:val="22"/>
          <w:szCs w:val="22"/>
        </w:rPr>
        <w:t>Santiago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B036C" w:rsidRPr="00122D53" w:rsidRDefault="006B036C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Yerka Sandova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l – Misión Evangélica San Pablo.</w:t>
      </w:r>
    </w:p>
    <w:p w:rsidR="006B036C" w:rsidRPr="00122D53" w:rsidRDefault="006B036C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2D53">
        <w:rPr>
          <w:rFonts w:asciiTheme="minorHAnsi" w:hAnsiTheme="minorHAnsi" w:cstheme="minorHAnsi"/>
          <w:color w:val="000000"/>
          <w:sz w:val="22"/>
          <w:szCs w:val="22"/>
        </w:rPr>
        <w:t>Marco Durán - Misión Evangélica San Pablo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A3458" w:rsidRDefault="006B036C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22D53">
        <w:rPr>
          <w:rFonts w:asciiTheme="minorHAnsi" w:hAnsiTheme="minorHAnsi" w:cstheme="minorHAnsi"/>
          <w:color w:val="000000"/>
          <w:sz w:val="22"/>
          <w:szCs w:val="22"/>
        </w:rPr>
        <w:t>Karry</w:t>
      </w:r>
      <w:proofErr w:type="spellEnd"/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22D53">
        <w:rPr>
          <w:rFonts w:asciiTheme="minorHAnsi" w:hAnsiTheme="minorHAnsi" w:cstheme="minorHAnsi"/>
          <w:color w:val="000000"/>
          <w:sz w:val="22"/>
          <w:szCs w:val="22"/>
        </w:rPr>
        <w:t>Iribarra</w:t>
      </w:r>
      <w:proofErr w:type="spellEnd"/>
      <w:r w:rsidRPr="00122D53">
        <w:rPr>
          <w:rFonts w:asciiTheme="minorHAnsi" w:hAnsiTheme="minorHAnsi" w:cstheme="minorHAnsi"/>
          <w:color w:val="000000"/>
          <w:sz w:val="22"/>
          <w:szCs w:val="22"/>
        </w:rPr>
        <w:t xml:space="preserve"> - Misión Evangélica San Pablo</w:t>
      </w:r>
      <w:r w:rsidR="002B74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66CD6" w:rsidRDefault="00F66CD6" w:rsidP="00122D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F6F3F" w:rsidRPr="002B042A" w:rsidRDefault="002B740A" w:rsidP="00805399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Saludo inicial de la directora n</w:t>
      </w:r>
      <w:r w:rsidR="00CF6F3F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acional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 María Eugenia Ferná</w:t>
      </w:r>
      <w:r w:rsidR="00CF6F3F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ndez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CF6F3F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:rsidR="00882702" w:rsidRDefault="002B740A" w:rsidP="00805399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 directora n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 xml:space="preserve">acional,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 su saludo de bienvenida, 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 xml:space="preserve">señala </w:t>
      </w:r>
      <w:r>
        <w:rPr>
          <w:rFonts w:asciiTheme="minorHAnsi" w:hAnsiTheme="minorHAnsi" w:cstheme="minorHAnsi"/>
          <w:color w:val="000000"/>
          <w:sz w:val="22"/>
          <w:szCs w:val="22"/>
        </w:rPr>
        <w:t>la importancia de sostener los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 xml:space="preserve"> encuentros con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los organismos colaboradores, quienes realizan 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>parte funda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mental del trabajo que desarrolla el servicio. 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 xml:space="preserve">Además, señala la importancia de ir sosteniendo reuniones bilaterales a fin de ir coordinando el traspaso </w:t>
      </w:r>
      <w:r>
        <w:rPr>
          <w:rFonts w:asciiTheme="minorHAnsi" w:hAnsiTheme="minorHAnsi" w:cstheme="minorHAnsi"/>
          <w:color w:val="000000"/>
          <w:sz w:val="22"/>
          <w:szCs w:val="22"/>
        </w:rPr>
        <w:t>al nuevo s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ervicio</w:t>
      </w:r>
      <w:r>
        <w:rPr>
          <w:rFonts w:asciiTheme="minorHAnsi" w:hAnsiTheme="minorHAnsi" w:cstheme="minorHAnsi"/>
          <w:color w:val="000000"/>
          <w:sz w:val="22"/>
          <w:szCs w:val="22"/>
        </w:rPr>
        <w:t>, tal como</w:t>
      </w:r>
      <w:r w:rsidR="00D161AB">
        <w:rPr>
          <w:rFonts w:asciiTheme="minorHAnsi" w:hAnsiTheme="minorHAnsi" w:cstheme="minorHAnsi"/>
          <w:color w:val="000000"/>
          <w:sz w:val="22"/>
          <w:szCs w:val="22"/>
        </w:rPr>
        <w:t xml:space="preserve"> se hizo en el norte.  </w:t>
      </w:r>
    </w:p>
    <w:p w:rsidR="00380193" w:rsidRDefault="00380193" w:rsidP="00805399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80193" w:rsidRPr="00845B83" w:rsidRDefault="00380193" w:rsidP="00805399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445B0" w:rsidRPr="002B042A" w:rsidRDefault="00E96FB6" w:rsidP="00805399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Saludo inicia</w:t>
      </w:r>
      <w:r w:rsidR="002B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 de la 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irectora </w:t>
      </w:r>
      <w:r w:rsidR="002B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del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SNRSJ</w:t>
      </w:r>
      <w:r w:rsidR="002B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B5D1A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Rocío</w:t>
      </w:r>
      <w:r w:rsidR="00BB5D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BB5D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Faú</w:t>
      </w:r>
      <w:r w:rsidR="00E445B0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ndez</w:t>
      </w:r>
      <w:proofErr w:type="spellEnd"/>
      <w:r w:rsidR="00E445B0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:rsidR="00845B83" w:rsidRPr="002B042A" w:rsidRDefault="00DF2BE4" w:rsidP="00805399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 sus palabras iniciales aludió 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a la ú</w:t>
      </w:r>
      <w:r>
        <w:rPr>
          <w:rFonts w:asciiTheme="minorHAnsi" w:hAnsiTheme="minorHAnsi" w:cstheme="minorHAnsi"/>
          <w:color w:val="000000"/>
          <w:sz w:val="22"/>
          <w:szCs w:val="22"/>
        </w:rPr>
        <w:t>ltima reunión sostenida con el consejo consultivo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 y al trabajo en materia informativa sobre los cambios que venía</w:t>
      </w:r>
      <w:r w:rsidR="00E96FB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los 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procesos de acreditación y la instalación de los pr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ogramas en el norte. Dejó la 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invitación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para una nueva jornada informativa el </w:t>
      </w:r>
      <w:r w:rsidR="00E96FB6">
        <w:rPr>
          <w:rFonts w:asciiTheme="minorHAnsi" w:hAnsiTheme="minorHAnsi" w:cstheme="minorHAnsi"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color w:val="000000"/>
          <w:sz w:val="22"/>
          <w:szCs w:val="22"/>
        </w:rPr>
        <w:t>6 de mayo, donde se hablará sobre el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roceso de implementación en la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acrozona</w:t>
      </w:r>
      <w:proofErr w:type="spellEnd"/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ur 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los 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>nuevos proceso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 licitatorio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45B83">
        <w:rPr>
          <w:rFonts w:asciiTheme="minorHAnsi" w:hAnsiTheme="minorHAnsi" w:cstheme="minorHAnsi"/>
          <w:color w:val="000000"/>
          <w:sz w:val="22"/>
          <w:szCs w:val="22"/>
        </w:rPr>
        <w:t xml:space="preserve"> en el norte. </w:t>
      </w:r>
    </w:p>
    <w:p w:rsidR="00B51B04" w:rsidRDefault="00B632B2" w:rsidP="00805399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Presentación</w:t>
      </w:r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la directora n</w:t>
      </w:r>
      <w:r w:rsidR="00B51B04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acional </w:t>
      </w:r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del </w:t>
      </w:r>
      <w:proofErr w:type="spellStart"/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Sename</w:t>
      </w:r>
      <w:proofErr w:type="spellEnd"/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María Eugenia Ferná</w:t>
      </w:r>
      <w:r w:rsidR="00B51B04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ndez</w:t>
      </w:r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B51B04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:rsidR="00845B83" w:rsidRDefault="00DF2BE4" w:rsidP="00805399">
      <w:pPr>
        <w:pStyle w:val="NormalWeb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directora nacional </w:t>
      </w:r>
      <w:r w:rsidR="00845B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señala la importancia de mantener el trabajo con los </w:t>
      </w:r>
      <w:r w:rsidR="00B632B2">
        <w:rPr>
          <w:rFonts w:asciiTheme="minorHAnsi" w:hAnsiTheme="minorHAnsi" w:cstheme="minorHAnsi"/>
          <w:bCs/>
          <w:color w:val="000000"/>
          <w:sz w:val="22"/>
          <w:szCs w:val="22"/>
        </w:rPr>
        <w:t>jóvenes y la continuidad</w:t>
      </w:r>
      <w:r w:rsidR="00845B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845B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ervicio mientras se lleva a </w:t>
      </w:r>
      <w:r w:rsidR="00B632B2">
        <w:rPr>
          <w:rFonts w:asciiTheme="minorHAnsi" w:hAnsiTheme="minorHAnsi" w:cstheme="minorHAnsi"/>
          <w:bCs/>
          <w:color w:val="000000"/>
          <w:sz w:val="22"/>
          <w:szCs w:val="22"/>
        </w:rPr>
        <w:t>cabo</w:t>
      </w:r>
      <w:r w:rsidR="00845B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 traspaso de funciones entre el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Sename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y el nuevo servicio</w:t>
      </w:r>
      <w:r w:rsidR="00845B8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8950E9" w:rsidRDefault="00845B83" w:rsidP="001144ED">
      <w:pPr>
        <w:pStyle w:val="Normal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Los focos son: </w:t>
      </w:r>
    </w:p>
    <w:p w:rsidR="006C4A0A" w:rsidRPr="002B042A" w:rsidRDefault="006C4A0A" w:rsidP="008950E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042A">
        <w:rPr>
          <w:rFonts w:asciiTheme="minorHAnsi" w:hAnsiTheme="minorHAnsi" w:cstheme="minorHAnsi"/>
          <w:color w:val="000000"/>
          <w:sz w:val="22"/>
          <w:szCs w:val="22"/>
        </w:rPr>
        <w:t xml:space="preserve">Implementar el sistema de sanciones </w:t>
      </w:r>
      <w:r w:rsidR="00DF2BE4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2B042A">
        <w:rPr>
          <w:rFonts w:asciiTheme="minorHAnsi" w:hAnsiTheme="minorHAnsi" w:cstheme="minorHAnsi"/>
          <w:color w:val="000000"/>
          <w:sz w:val="22"/>
          <w:szCs w:val="22"/>
        </w:rPr>
        <w:t>intervención acorde a la Ley de Respo</w:t>
      </w:r>
      <w:r w:rsidR="00221E99" w:rsidRPr="002B042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2B042A">
        <w:rPr>
          <w:rFonts w:asciiTheme="minorHAnsi" w:hAnsiTheme="minorHAnsi" w:cstheme="minorHAnsi"/>
          <w:color w:val="000000"/>
          <w:sz w:val="22"/>
          <w:szCs w:val="22"/>
        </w:rPr>
        <w:t>sabilidad Penal.</w:t>
      </w:r>
    </w:p>
    <w:p w:rsidR="006C4A0A" w:rsidRPr="002B042A" w:rsidRDefault="006C4A0A" w:rsidP="0080539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042A">
        <w:rPr>
          <w:rFonts w:asciiTheme="minorHAnsi" w:hAnsiTheme="minorHAnsi" w:cstheme="minorHAnsi"/>
          <w:color w:val="000000"/>
          <w:sz w:val="22"/>
          <w:szCs w:val="22"/>
        </w:rPr>
        <w:t xml:space="preserve">Priorizar la continuidad de la atención de los jóvenes con el fin de mejorar constantemente </w:t>
      </w:r>
      <w:r w:rsidR="00221E99" w:rsidRPr="002B042A">
        <w:rPr>
          <w:rFonts w:asciiTheme="minorHAnsi" w:hAnsiTheme="minorHAnsi" w:cstheme="minorHAnsi"/>
          <w:color w:val="000000"/>
          <w:sz w:val="22"/>
          <w:szCs w:val="22"/>
        </w:rPr>
        <w:t xml:space="preserve">los mecanismos de </w:t>
      </w:r>
      <w:r w:rsidR="00B632B2" w:rsidRPr="002B042A">
        <w:rPr>
          <w:rFonts w:asciiTheme="minorHAnsi" w:hAnsiTheme="minorHAnsi" w:cstheme="minorHAnsi"/>
          <w:color w:val="000000"/>
          <w:sz w:val="22"/>
          <w:szCs w:val="22"/>
        </w:rPr>
        <w:t>intervención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5D1A"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="00BB5D1A" w:rsidRPr="002B042A">
        <w:rPr>
          <w:rFonts w:asciiTheme="minorHAnsi" w:hAnsiTheme="minorHAnsi" w:cstheme="minorHAnsi"/>
          <w:color w:val="000000"/>
          <w:sz w:val="22"/>
          <w:szCs w:val="22"/>
        </w:rPr>
        <w:t>protocolos</w:t>
      </w:r>
      <w:r w:rsidR="00221E99" w:rsidRPr="002B042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45B83" w:rsidRDefault="00DF2BE4" w:rsidP="00845B8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Mejorar la seguridad de los centros, </w:t>
      </w:r>
      <w:r w:rsidR="00221E99" w:rsidRPr="00845B83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las funcionarias y los funcionarios. </w:t>
      </w:r>
      <w:r w:rsidR="00221E99" w:rsidRPr="00845B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E611D" w:rsidRDefault="00DE611D" w:rsidP="00805399">
      <w:pPr>
        <w:pStyle w:val="Normal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B04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Presentación </w:t>
      </w:r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E96FB6" w:rsidRPr="002B04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irectora </w:t>
      </w:r>
      <w:r w:rsidR="00DF2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SNRSJ </w:t>
      </w:r>
      <w:r w:rsidR="00BB5D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Rocío </w:t>
      </w:r>
      <w:proofErr w:type="spellStart"/>
      <w:r w:rsidR="00BB5D1A">
        <w:rPr>
          <w:rFonts w:asciiTheme="minorHAnsi" w:hAnsiTheme="minorHAnsi" w:cstheme="minorHAnsi"/>
          <w:b/>
          <w:color w:val="000000"/>
          <w:sz w:val="22"/>
          <w:szCs w:val="22"/>
        </w:rPr>
        <w:t>Faú</w:t>
      </w:r>
      <w:r w:rsidR="00E708FD">
        <w:rPr>
          <w:rFonts w:asciiTheme="minorHAnsi" w:hAnsiTheme="minorHAnsi" w:cstheme="minorHAnsi"/>
          <w:b/>
          <w:color w:val="000000"/>
          <w:sz w:val="22"/>
          <w:szCs w:val="22"/>
        </w:rPr>
        <w:t>ndez</w:t>
      </w:r>
      <w:proofErr w:type="spellEnd"/>
      <w:r w:rsidR="00DF2BE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:rsidR="008950E9" w:rsidRDefault="00E96FB6" w:rsidP="00E51576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B632B2" w:rsidRPr="00B632B2">
        <w:rPr>
          <w:rFonts w:asciiTheme="minorHAnsi" w:hAnsiTheme="minorHAnsi" w:cstheme="minorHAnsi"/>
          <w:color w:val="000000"/>
          <w:sz w:val="22"/>
          <w:szCs w:val="22"/>
        </w:rPr>
        <w:t xml:space="preserve">a cuenta del estado de avance de la implementación 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del nuevo </w:t>
      </w:r>
      <w:r w:rsidR="00DF2BE4">
        <w:rPr>
          <w:rFonts w:asciiTheme="minorHAnsi" w:hAnsiTheme="minorHAnsi" w:cstheme="minorHAnsi"/>
          <w:color w:val="000000"/>
          <w:sz w:val="22"/>
          <w:szCs w:val="22"/>
        </w:rPr>
        <w:t xml:space="preserve">servicio en el 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>orte</w:t>
      </w:r>
      <w:r w:rsidR="00DF2BE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 en paralelo a la impl</w:t>
      </w:r>
      <w:r>
        <w:rPr>
          <w:rFonts w:asciiTheme="minorHAnsi" w:hAnsiTheme="minorHAnsi" w:cstheme="minorHAnsi"/>
          <w:color w:val="000000"/>
          <w:sz w:val="22"/>
          <w:szCs w:val="22"/>
        </w:rPr>
        <w:t>eme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ntación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acional y la d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irección 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acional, así como el cambio de tipo de vínculo que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>tendr</w:t>
      </w:r>
      <w:r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los organismos </w:t>
      </w:r>
      <w:r w:rsidR="00B632B2">
        <w:rPr>
          <w:rFonts w:asciiTheme="minorHAnsi" w:hAnsiTheme="minorHAnsi" w:cstheme="minorHAnsi"/>
          <w:color w:val="000000"/>
          <w:sz w:val="22"/>
          <w:szCs w:val="22"/>
        </w:rPr>
        <w:t xml:space="preserve">privados y el Estado, marcado por el sistema de compras públicas y el sistema de estándares. </w:t>
      </w:r>
      <w:r w:rsidR="008950E9">
        <w:rPr>
          <w:rFonts w:asciiTheme="minorHAnsi" w:hAnsiTheme="minorHAnsi" w:cstheme="minorHAnsi"/>
          <w:color w:val="000000"/>
          <w:sz w:val="22"/>
          <w:szCs w:val="22"/>
        </w:rPr>
        <w:t>Así mismo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950E9">
        <w:rPr>
          <w:rFonts w:asciiTheme="minorHAnsi" w:hAnsiTheme="minorHAnsi" w:cstheme="minorHAnsi"/>
          <w:color w:val="000000"/>
          <w:sz w:val="22"/>
          <w:szCs w:val="22"/>
        </w:rPr>
        <w:t xml:space="preserve"> se da cuenta de los hitos relativos a la puesta en marcha en la </w:t>
      </w:r>
      <w:proofErr w:type="spellStart"/>
      <w:r w:rsidR="00D94856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8950E9">
        <w:rPr>
          <w:rFonts w:asciiTheme="minorHAnsi" w:hAnsiTheme="minorHAnsi" w:cstheme="minorHAnsi"/>
          <w:color w:val="000000"/>
          <w:sz w:val="22"/>
          <w:szCs w:val="22"/>
        </w:rPr>
        <w:t>acrozona</w:t>
      </w:r>
      <w:proofErr w:type="spellEnd"/>
      <w:r w:rsidR="008950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8950E9">
        <w:rPr>
          <w:rFonts w:asciiTheme="minorHAnsi" w:hAnsiTheme="minorHAnsi" w:cstheme="minorHAnsi"/>
          <w:color w:val="000000"/>
          <w:sz w:val="22"/>
          <w:szCs w:val="22"/>
        </w:rPr>
        <w:t xml:space="preserve">orte del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8950E9">
        <w:rPr>
          <w:rFonts w:asciiTheme="minorHAnsi" w:hAnsiTheme="minorHAnsi" w:cstheme="minorHAnsi"/>
          <w:color w:val="000000"/>
          <w:sz w:val="22"/>
          <w:szCs w:val="22"/>
        </w:rPr>
        <w:t>uevo Servicio</w:t>
      </w:r>
      <w:r w:rsidR="001D30CD">
        <w:rPr>
          <w:rFonts w:asciiTheme="minorHAnsi" w:hAnsiTheme="minorHAnsi" w:cstheme="minorHAnsi"/>
          <w:color w:val="000000"/>
          <w:sz w:val="22"/>
          <w:szCs w:val="22"/>
        </w:rPr>
        <w:t xml:space="preserve"> de Reinserción Social Juvenil, la puesta en marcha de los 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comités o</w:t>
      </w:r>
      <w:r w:rsidR="001D30CD">
        <w:rPr>
          <w:rFonts w:asciiTheme="minorHAnsi" w:hAnsiTheme="minorHAnsi" w:cstheme="minorHAnsi"/>
          <w:color w:val="000000"/>
          <w:sz w:val="22"/>
          <w:szCs w:val="22"/>
        </w:rPr>
        <w:t xml:space="preserve">perativos </w:t>
      </w:r>
      <w:r w:rsidR="00E708F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1D30CD">
        <w:rPr>
          <w:rFonts w:asciiTheme="minorHAnsi" w:hAnsiTheme="minorHAnsi" w:cstheme="minorHAnsi"/>
          <w:color w:val="000000"/>
          <w:sz w:val="22"/>
          <w:szCs w:val="22"/>
        </w:rPr>
        <w:t>egional</w:t>
      </w:r>
      <w:r w:rsidR="00D94856">
        <w:rPr>
          <w:rFonts w:asciiTheme="minorHAnsi" w:hAnsiTheme="minorHAnsi" w:cstheme="minorHAnsi"/>
          <w:color w:val="000000"/>
          <w:sz w:val="22"/>
          <w:szCs w:val="22"/>
        </w:rPr>
        <w:t>es y el trabajo intersectorial</w:t>
      </w:r>
      <w:r w:rsidR="001D30C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D6AC4" w:rsidRPr="00E51576" w:rsidRDefault="004D6AC4" w:rsidP="00E51576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 w:rsidRPr="00E51576">
        <w:rPr>
          <w:rFonts w:cstheme="minorHAnsi"/>
          <w:sz w:val="22"/>
          <w:szCs w:val="22"/>
        </w:rPr>
        <w:t>Por distintos</w:t>
      </w:r>
      <w:r w:rsidR="00E96FB6">
        <w:rPr>
          <w:rFonts w:cstheme="minorHAnsi"/>
          <w:sz w:val="22"/>
          <w:szCs w:val="22"/>
        </w:rPr>
        <w:t xml:space="preserve"> motivos señala que</w:t>
      </w:r>
      <w:r w:rsidRPr="00E51576">
        <w:rPr>
          <w:rFonts w:cstheme="minorHAnsi"/>
          <w:sz w:val="22"/>
          <w:szCs w:val="22"/>
        </w:rPr>
        <w:t xml:space="preserve"> </w:t>
      </w:r>
      <w:r w:rsidR="00E51576">
        <w:rPr>
          <w:rFonts w:cstheme="minorHAnsi"/>
          <w:sz w:val="22"/>
          <w:szCs w:val="22"/>
        </w:rPr>
        <w:t>la</w:t>
      </w:r>
      <w:r w:rsidRPr="00E51576">
        <w:rPr>
          <w:rFonts w:cstheme="minorHAnsi"/>
          <w:sz w:val="22"/>
          <w:szCs w:val="22"/>
        </w:rPr>
        <w:t xml:space="preserve"> contratación de </w:t>
      </w:r>
      <w:r w:rsidR="00D94856">
        <w:rPr>
          <w:rFonts w:cstheme="minorHAnsi"/>
          <w:sz w:val="22"/>
          <w:szCs w:val="22"/>
        </w:rPr>
        <w:t xml:space="preserve">la </w:t>
      </w:r>
      <w:r w:rsidRPr="00E51576">
        <w:rPr>
          <w:rFonts w:cstheme="minorHAnsi"/>
          <w:sz w:val="22"/>
          <w:szCs w:val="22"/>
        </w:rPr>
        <w:t>oferta programática para este año no ocurrió a través de las licitaciones</w:t>
      </w:r>
      <w:r w:rsidR="00D94856">
        <w:rPr>
          <w:rFonts w:cstheme="minorHAnsi"/>
          <w:sz w:val="22"/>
          <w:szCs w:val="22"/>
        </w:rPr>
        <w:t>,</w:t>
      </w:r>
      <w:r w:rsidRPr="00E51576">
        <w:rPr>
          <w:rFonts w:cstheme="minorHAnsi"/>
          <w:sz w:val="22"/>
          <w:szCs w:val="22"/>
        </w:rPr>
        <w:t xml:space="preserve"> </w:t>
      </w:r>
      <w:r w:rsidR="00E51576">
        <w:rPr>
          <w:rFonts w:cstheme="minorHAnsi"/>
          <w:sz w:val="22"/>
          <w:szCs w:val="22"/>
        </w:rPr>
        <w:t xml:space="preserve">por lo que se llevó a cabo la </w:t>
      </w:r>
      <w:r w:rsidR="00E51576" w:rsidRPr="00E51576">
        <w:rPr>
          <w:rFonts w:cstheme="minorHAnsi"/>
          <w:sz w:val="22"/>
          <w:szCs w:val="22"/>
        </w:rPr>
        <w:t>contratación</w:t>
      </w:r>
      <w:r w:rsidRPr="00E51576">
        <w:rPr>
          <w:rFonts w:cstheme="minorHAnsi"/>
          <w:sz w:val="22"/>
          <w:szCs w:val="22"/>
        </w:rPr>
        <w:t xml:space="preserve"> vía trato directo para las </w:t>
      </w:r>
      <w:r w:rsidR="00D94856">
        <w:rPr>
          <w:rFonts w:cstheme="minorHAnsi"/>
          <w:sz w:val="22"/>
          <w:szCs w:val="22"/>
        </w:rPr>
        <w:t>cinco r</w:t>
      </w:r>
      <w:r w:rsidRPr="00E51576">
        <w:rPr>
          <w:rFonts w:cstheme="minorHAnsi"/>
          <w:sz w:val="22"/>
          <w:szCs w:val="22"/>
        </w:rPr>
        <w:t xml:space="preserve">egiones del norte y en lugar de ser por 3 años, que era el periodo original de la licitación, </w:t>
      </w:r>
      <w:r w:rsidR="00E51576">
        <w:rPr>
          <w:rFonts w:cstheme="minorHAnsi"/>
          <w:sz w:val="22"/>
          <w:szCs w:val="22"/>
        </w:rPr>
        <w:t>se f</w:t>
      </w:r>
      <w:r w:rsidR="00D94856">
        <w:rPr>
          <w:rFonts w:cstheme="minorHAnsi"/>
          <w:sz w:val="22"/>
          <w:szCs w:val="22"/>
        </w:rPr>
        <w:t>irmaron convenios por 1 año. P</w:t>
      </w:r>
      <w:r w:rsidR="00E51576">
        <w:rPr>
          <w:rFonts w:cstheme="minorHAnsi"/>
          <w:sz w:val="22"/>
          <w:szCs w:val="22"/>
        </w:rPr>
        <w:t>or esa razón</w:t>
      </w:r>
      <w:r w:rsidR="00D94856">
        <w:rPr>
          <w:rFonts w:cstheme="minorHAnsi"/>
          <w:sz w:val="22"/>
          <w:szCs w:val="22"/>
        </w:rPr>
        <w:t>,</w:t>
      </w:r>
      <w:r w:rsidR="00E51576">
        <w:rPr>
          <w:rFonts w:cstheme="minorHAnsi"/>
          <w:sz w:val="22"/>
          <w:szCs w:val="22"/>
        </w:rPr>
        <w:t xml:space="preserve"> </w:t>
      </w:r>
      <w:r w:rsidRPr="00E51576">
        <w:rPr>
          <w:rFonts w:cstheme="minorHAnsi"/>
          <w:sz w:val="22"/>
          <w:szCs w:val="22"/>
        </w:rPr>
        <w:t>al fin de este año</w:t>
      </w:r>
      <w:r w:rsidR="00D94856">
        <w:rPr>
          <w:rFonts w:cstheme="minorHAnsi"/>
          <w:sz w:val="22"/>
          <w:szCs w:val="22"/>
        </w:rPr>
        <w:t>,</w:t>
      </w:r>
      <w:r w:rsidRPr="00E51576">
        <w:rPr>
          <w:rFonts w:cstheme="minorHAnsi"/>
          <w:sz w:val="22"/>
          <w:szCs w:val="22"/>
        </w:rPr>
        <w:t xml:space="preserve"> </w:t>
      </w:r>
      <w:r w:rsidR="00E51576">
        <w:rPr>
          <w:rFonts w:cstheme="minorHAnsi"/>
          <w:sz w:val="22"/>
          <w:szCs w:val="22"/>
        </w:rPr>
        <w:t>se va a licitar oferta</w:t>
      </w:r>
      <w:r w:rsidR="00D94856">
        <w:rPr>
          <w:rFonts w:cstheme="minorHAnsi"/>
          <w:sz w:val="22"/>
          <w:szCs w:val="22"/>
        </w:rPr>
        <w:t xml:space="preserve"> para las ocho regiones del s</w:t>
      </w:r>
      <w:r w:rsidRPr="00E51576">
        <w:rPr>
          <w:rFonts w:cstheme="minorHAnsi"/>
          <w:sz w:val="22"/>
          <w:szCs w:val="22"/>
        </w:rPr>
        <w:t xml:space="preserve">ur, pero también </w:t>
      </w:r>
      <w:r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para el norte. </w:t>
      </w:r>
    </w:p>
    <w:p w:rsidR="0029260F" w:rsidRPr="0029260F" w:rsidRDefault="00E96FB6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En m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ediación penal juvenil, e</w:t>
      </w:r>
      <w:r w:rsidR="002B3BFA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n conjunto con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la Unión Europea</w:t>
      </w:r>
      <w:r w:rsidR="002B3BFA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, el Ministerio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de Justicia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y Derechos Humanos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2B3BFA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gestionó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un curso intensivo y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visitas de dos</w:t>
      </w:r>
      <w:r w:rsidR="002B3BFA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expertos a cada una de las regiones del norte, donde se hicieron talleres de sensibilización con el Ministerio Público, con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la </w:t>
      </w:r>
      <w:r w:rsidR="002B3BFA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Defensoría Penal Pública, con jueces y con los mediadores penales juveniles y mediado</w:t>
      </w:r>
      <w:r w:rsid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ras que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existen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en cada región. F</w:t>
      </w:r>
      <w:r w:rsid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inalmente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 w:rsid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el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proceso para acreditar personas que sean mediadoras</w:t>
      </w:r>
      <w:r w:rsid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se volvió a abrir el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día 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8 de abril y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estará abierto todo el año. N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 tiene fecha de término</w:t>
      </w:r>
      <w:r w:rsid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dado que s</w:t>
      </w:r>
      <w:r w:rsidR="00E51576" w:rsidRPr="00E5157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 necesita la figura del mediador en varias regiones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p w:rsidR="004F073C" w:rsidRPr="0029260F" w:rsidRDefault="0029260F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lastRenderedPageBreak/>
        <w:t>Un nuevo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proceso de acreditación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para colaboradores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se iniciará 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el 13 de junio.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Luego, e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 13 de julio se tienen que constituir las direcciones regionales en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las ocho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regiones</w:t>
      </w:r>
      <w:r w:rsidR="00E96FB6" w:rsidRP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E96FB6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del sur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. El 13 de octubre tiene que estar en proceso 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la </w:t>
      </w:r>
      <w:r w:rsidR="00442C1B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contratación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de </w:t>
      </w:r>
      <w:r w:rsidR="00442C1B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las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ofertas, la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especialización del sistema de j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usticia </w:t>
      </w:r>
      <w:r w:rsidR="00442C1B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y pueden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empezar a pedir los tribunales los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i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nformes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t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écnicos. </w:t>
      </w:r>
    </w:p>
    <w:p w:rsidR="0029260F" w:rsidRPr="0029260F" w:rsidRDefault="0029260F" w:rsidP="0029260F">
      <w:pPr>
        <w:rPr>
          <w:rFonts w:ascii="Arial" w:hAnsi="Arial" w:cs="Arial"/>
          <w:sz w:val="22"/>
          <w:szCs w:val="22"/>
        </w:rPr>
      </w:pPr>
    </w:p>
    <w:p w:rsidR="0029260F" w:rsidRDefault="00E96FB6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Finalmente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señala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que s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 encuentran los procesos abiertos para postular a los cargos 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de directores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regionales del sur. Los procesos de la Región de Los Lagos 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y de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la Región del Biob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ío ya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no están abiertos para postulación,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encontrándose e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n el proceso de entrevista en la 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nómina</w:t>
      </w:r>
      <w:r w:rsid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final. En l</w:t>
      </w:r>
      <w:r w:rsidR="008972A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as regiones de Ñ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uble y Maule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ya están cerrados y en proceso de 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evaluación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 mientras la R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egión de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 Araucanía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y la Región de Los Ríos también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están 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cerrados. S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ó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lo Magallanes y </w:t>
      </w:r>
      <w:r w:rsidR="0029260F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Aysén</w:t>
      </w:r>
      <w:r w:rsidR="004F073C" w:rsidRPr="0029260F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están en proceso de postulación.</w:t>
      </w:r>
    </w:p>
    <w:p w:rsidR="00BB5D1A" w:rsidRPr="00BB5D1A" w:rsidRDefault="0029260F" w:rsidP="0029260F">
      <w:pPr>
        <w:spacing w:after="160"/>
        <w:jc w:val="both"/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</w:pPr>
      <w:r w:rsidRPr="00BB5D1A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Se abre ronda de consultas:</w:t>
      </w:r>
    </w:p>
    <w:p w:rsidR="0029260F" w:rsidRDefault="0029260F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Consultas sobre el proceso de licitación de la </w:t>
      </w:r>
      <w:proofErr w:type="spellStart"/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Macrozona</w:t>
      </w:r>
      <w:proofErr w:type="spellEnd"/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N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orte y sus resultados. Por qué se llevaron a cabo asignaciones directas para la provisión de la oferta, cuáles fueron las razones de la no asignación mediante concurso, considerando que las instituciones </w:t>
      </w:r>
      <w:r w:rsidR="006934FA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que participaron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eran ejecutores al momento de postular. </w:t>
      </w:r>
    </w:p>
    <w:p w:rsidR="00F42F1B" w:rsidRDefault="008972AF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Se plantea la necesidad de revisar el tema del financiamiento desde el día 1 y las dificultades que tienen orga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nismos que se constituyen como instituciones sin fines de l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ucro. </w:t>
      </w:r>
    </w:p>
    <w:p w:rsidR="0029260F" w:rsidRDefault="00D94856" w:rsidP="0029260F">
      <w:pPr>
        <w:spacing w:after="160"/>
        <w:jc w:val="both"/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Directora del </w:t>
      </w:r>
      <w:r w:rsidR="00E96FB6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S</w:t>
      </w: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N</w:t>
      </w:r>
      <w:r w:rsidR="00E96FB6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RSJ</w:t>
      </w: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,</w:t>
      </w:r>
      <w:r w:rsidR="00E96FB6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AD58E2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Rocío</w:t>
      </w:r>
      <w:r w:rsidR="00BC0FAB" w:rsidRPr="00BC0FAB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proofErr w:type="spellStart"/>
      <w:r w:rsidR="00BC0FAB" w:rsidRPr="00BC0FAB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Faú</w:t>
      </w:r>
      <w:r w:rsidR="00AD58E2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n</w:t>
      </w:r>
      <w:r w:rsidR="00BC0FAB" w:rsidRPr="00BC0FAB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dez</w:t>
      </w:r>
      <w:proofErr w:type="spellEnd"/>
      <w:r w:rsidR="00BC0FAB" w:rsidRPr="00BC0FAB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: </w:t>
      </w:r>
    </w:p>
    <w:p w:rsidR="00BC0FAB" w:rsidRDefault="00BC0FAB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 w:rsidRPr="00BC0FA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Las razones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que fundamentaron 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los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tratos directos fueron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 w:rsidRPr="00BC0FA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principalmente</w:t>
      </w:r>
      <w:r w:rsidR="00D9485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que los concursos resultaron desiertos por razones administrativas, falta de documentación y cumplimiento de requisitos como son la boleta de garantía y el caso puntual de una institución </w:t>
      </w:r>
      <w:r w:rsidR="00E57D47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que,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habiéndose adjudicado la oferta, desistió de la ejecución.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Sin embargo,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los</w:t>
      </w:r>
      <w:r w:rsidRPr="00BC0FA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tratos directos no son el mecanismo óptimo de contratación para el Estado </w:t>
      </w:r>
      <w:r w:rsid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con duración de un</w:t>
      </w:r>
      <w:r w:rsidRPr="00BC0FA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año. </w:t>
      </w:r>
    </w:p>
    <w:p w:rsidR="00BC0FAB" w:rsidRDefault="00F42F1B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En agosto</w:t>
      </w:r>
      <w:r w:rsid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se tiene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considerado abrir las licitaciones para que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esta vez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exista un tiempo para abordar cualquier eventualidad. </w:t>
      </w:r>
    </w:p>
    <w:p w:rsidR="00F42F1B" w:rsidRDefault="004D2121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Sobre informe técnico</w:t>
      </w:r>
      <w:r w:rsidR="00F42F1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se está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n</w:t>
      </w:r>
      <w:r w:rsidR="00F42F1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monitoreando los motivos de solicitud de IT, desde el 13 de o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ctubre hasta el 13 de enero. Se </w:t>
      </w:r>
      <w:r w:rsidR="00F42F1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podía pedir para revisión de causas, pero ahora se puede pedir para tod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o. Se están monitoreando flujos</w:t>
      </w:r>
      <w:r w:rsidR="00F42F1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y para qué momento de la causa se están ocupando. </w:t>
      </w:r>
    </w:p>
    <w:p w:rsidR="008D276C" w:rsidRPr="00BC0FAB" w:rsidRDefault="00E96FB6" w:rsidP="0029260F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Directora </w:t>
      </w:r>
      <w:r w:rsidR="004D2121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n</w:t>
      </w:r>
      <w:r w:rsidR="00442C1B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acional </w:t>
      </w:r>
      <w:r w:rsidR="004D2121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del </w:t>
      </w:r>
      <w:proofErr w:type="spellStart"/>
      <w:r w:rsidR="004D2121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Sename</w:t>
      </w:r>
      <w:proofErr w:type="spellEnd"/>
      <w:r w:rsidR="004D2121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4D2121">
        <w:rPr>
          <w:rFonts w:cstheme="minorHAnsi"/>
          <w:b/>
          <w:bCs/>
          <w:color w:val="000000"/>
          <w:sz w:val="22"/>
          <w:szCs w:val="22"/>
        </w:rPr>
        <w:t>Marí</w:t>
      </w:r>
      <w:r w:rsidR="008D276C" w:rsidRPr="002B042A">
        <w:rPr>
          <w:rFonts w:cstheme="minorHAnsi"/>
          <w:b/>
          <w:bCs/>
          <w:color w:val="000000"/>
          <w:sz w:val="22"/>
          <w:szCs w:val="22"/>
        </w:rPr>
        <w:t>a Eugenia Fernández</w:t>
      </w:r>
      <w:r w:rsidR="008D276C">
        <w:rPr>
          <w:rFonts w:cstheme="minorHAnsi"/>
          <w:b/>
          <w:bCs/>
          <w:color w:val="000000"/>
          <w:sz w:val="22"/>
          <w:szCs w:val="22"/>
        </w:rPr>
        <w:t>:</w:t>
      </w:r>
    </w:p>
    <w:p w:rsidR="008D276C" w:rsidRDefault="008D276C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 w:rsidRPr="008D276C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Respecto a la incorporación de recomendaciones de otros organismos como las CISC, INDH, </w:t>
      </w:r>
      <w:r w:rsidR="00380193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CPT,</w:t>
      </w:r>
      <w:r w:rsidRPr="008D276C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para la mejora del sistema con miras al traspaso de funciones,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éstas </w:t>
      </w:r>
      <w:r w:rsidRPr="008D276C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se están sistematizando. Algunos focos tienen que ver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con</w:t>
      </w:r>
      <w:r w:rsidRPr="008D276C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recursos, otros tienen que ver con infraestructura y toda esa información es parte de los planes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anuales de mejora</w:t>
      </w:r>
      <w:r w:rsidRPr="008D276C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. </w:t>
      </w:r>
    </w:p>
    <w:p w:rsidR="001144ED" w:rsidRDefault="001144ED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380193" w:rsidRDefault="00380193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380193" w:rsidRDefault="00380193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AD58E2" w:rsidRPr="00AD58E2" w:rsidRDefault="00AD58E2" w:rsidP="00AD58E2">
      <w:pPr>
        <w:spacing w:after="160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AD58E2">
        <w:rPr>
          <w:rFonts w:cstheme="minorHAnsi"/>
          <w:b/>
          <w:bCs/>
          <w:color w:val="000000"/>
          <w:sz w:val="22"/>
          <w:szCs w:val="22"/>
        </w:rPr>
        <w:t xml:space="preserve">Virginia Mella presenta </w:t>
      </w:r>
      <w:r>
        <w:rPr>
          <w:rFonts w:cstheme="minorHAnsi"/>
          <w:b/>
          <w:bCs/>
          <w:color w:val="000000"/>
          <w:sz w:val="22"/>
          <w:szCs w:val="22"/>
        </w:rPr>
        <w:t xml:space="preserve">resultados de medición de tasa de Reincidencia delictiva de jóvenes atendidos por ley N°20.084. </w:t>
      </w:r>
    </w:p>
    <w:p w:rsidR="00AD58E2" w:rsidRDefault="00AD58E2" w:rsidP="00AD58E2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Se presentan r</w:t>
      </w:r>
      <w:r w:rsidRPr="00AD58E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esultados de las tasas de reincidencia de la </w:t>
      </w:r>
      <w:r w:rsid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c</w:t>
      </w:r>
      <w:r w:rsidRPr="00AD58E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ho</w:t>
      </w:r>
      <w:r w:rsidRPr="00AD58E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rte 2009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al </w:t>
      </w:r>
      <w:r w:rsidRPr="00AD58E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2020. Este informe va a ser publicado en la web de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 SENAME dentro del mes de mayo.</w:t>
      </w:r>
    </w:p>
    <w:p w:rsidR="004D2121" w:rsidRDefault="00122D53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Los datos fueron trabajados por la </w:t>
      </w:r>
      <w:r w:rsid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F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acultad de Economía y Negocios de la U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niversidad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de Chile, quienes hicieron el cruce con datos de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 Ministerio Público y CAPJ. De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2009 al 2010 hubo una taza de reincidencia de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40.1% (seguimiento 12 meses desde el egreso). El 2018, esta cifra bajó a 25,9% de reincidencia a 12 meses de seguimiento. A los 24 meses de seguimiento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35,6% reincide. Esto demostraría un buen trabajo por parte de centros y programas en torno a la disminución de la reincidencia delictiva </w:t>
      </w:r>
      <w:r w:rsidR="001144ED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en nuestro sujeto de atención.  </w:t>
      </w:r>
    </w:p>
    <w:p w:rsidR="008D276C" w:rsidRDefault="001144ED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La tasa de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reincidencia en mujeres si bien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bajó, sigue siendo significativa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su participación y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su aumento sostenido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en la participación de delitos, lo que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señala la necesidad de atender a la complejización de esta población. </w:t>
      </w:r>
    </w:p>
    <w:p w:rsidR="001144ED" w:rsidRPr="001144ED" w:rsidRDefault="004D2121" w:rsidP="008D276C">
      <w:pPr>
        <w:spacing w:after="160"/>
        <w:jc w:val="both"/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 xml:space="preserve">Palabras al cierre de la directora del </w:t>
      </w:r>
      <w:proofErr w:type="spellStart"/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Sename</w:t>
      </w:r>
      <w:proofErr w:type="spellEnd"/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, Marí</w:t>
      </w:r>
      <w:r w:rsidR="001144ED" w:rsidRPr="001144ED"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a Eugenia Fernández</w:t>
      </w:r>
      <w:r>
        <w:rPr>
          <w:rFonts w:eastAsia="Times New Roman" w:cstheme="minorHAnsi"/>
          <w:b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:rsidR="00D232A2" w:rsidRPr="00D232A2" w:rsidRDefault="00D232A2" w:rsidP="00D232A2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Reconoce a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 equip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, quienes han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trabajado mucho tiempo, l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as cifras que se m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ostraron en los resultados del informe de r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eincid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encia,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lo que i</w:t>
      </w:r>
      <w:r w:rsidR="00E96FB6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ndica que se </w:t>
      </w:r>
      <w:r w:rsidR="00380193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ha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hecho bien el trabajo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y se espera hacer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una posta exitosa, para lo que se d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ebe seguir trabajando. Se propone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poder ir monito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reando cómo va el proceso y se 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espera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en junio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, realizar una nueva reunión para 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ver cómo está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la instalación del proceso de l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icitación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pa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ra el nuevo s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ervicio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. También</w:t>
      </w:r>
      <w:r w:rsidR="00442C1B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las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>OCA</w:t>
      </w:r>
      <w:r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pueden plantear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un</w:t>
      </w:r>
      <w:r w:rsidR="004D2121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espacio antes de la licitación</w:t>
      </w:r>
      <w:r w:rsidRPr="00D232A2"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  <w:t xml:space="preserve"> con el fin de poder ir trabajando. </w:t>
      </w:r>
    </w:p>
    <w:p w:rsidR="00D232A2" w:rsidRPr="00D232A2" w:rsidRDefault="00D232A2" w:rsidP="00D232A2">
      <w:pPr>
        <w:jc w:val="both"/>
        <w:rPr>
          <w:rFonts w:ascii="Verdana" w:hAnsi="Verdana" w:cstheme="minorHAnsi"/>
          <w:b/>
          <w:sz w:val="20"/>
          <w:szCs w:val="20"/>
        </w:rPr>
      </w:pPr>
      <w:r w:rsidRPr="00D232A2">
        <w:rPr>
          <w:rFonts w:ascii="Verdana" w:hAnsi="Verdana" w:cstheme="minorHAnsi"/>
          <w:b/>
          <w:sz w:val="20"/>
          <w:szCs w:val="20"/>
        </w:rPr>
        <w:t>Calendario de acuerdos en reunión y otras temáticas a considerar:</w:t>
      </w:r>
    </w:p>
    <w:p w:rsidR="00D232A2" w:rsidRDefault="00D232A2" w:rsidP="00D232A2">
      <w:pPr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D232A2" w:rsidTr="00E70B38">
        <w:trPr>
          <w:trHeight w:val="280"/>
        </w:trPr>
        <w:tc>
          <w:tcPr>
            <w:tcW w:w="5949" w:type="dxa"/>
            <w:shd w:val="clear" w:color="auto" w:fill="D9D9D9" w:themeFill="background1" w:themeFillShade="D9"/>
          </w:tcPr>
          <w:p w:rsidR="00D232A2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Temáticas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D232A2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Fechas</w:t>
            </w:r>
          </w:p>
        </w:tc>
      </w:tr>
      <w:tr w:rsidR="00D232A2" w:rsidRPr="00A469BC" w:rsidTr="00E70B38">
        <w:tc>
          <w:tcPr>
            <w:tcW w:w="5949" w:type="dxa"/>
          </w:tcPr>
          <w:p w:rsidR="00D232A2" w:rsidRPr="00A469BC" w:rsidRDefault="00D232A2" w:rsidP="0038019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 xml:space="preserve">Jornada informativa con organismos de la </w:t>
            </w:r>
            <w:r w:rsidR="0038019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A469BC">
              <w:rPr>
                <w:rFonts w:ascii="Verdana" w:hAnsi="Verdana" w:cstheme="minorHAnsi"/>
                <w:sz w:val="20"/>
                <w:szCs w:val="20"/>
              </w:rPr>
              <w:t xml:space="preserve">ociedad </w:t>
            </w:r>
            <w:r w:rsidR="00380193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A469BC">
              <w:rPr>
                <w:rFonts w:ascii="Verdana" w:hAnsi="Verdana" w:cstheme="minorHAnsi"/>
                <w:sz w:val="20"/>
                <w:szCs w:val="20"/>
              </w:rPr>
              <w:t>ivil, preparado por gabinete del SNR</w:t>
            </w:r>
            <w:r w:rsidR="004D2121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A469BC">
              <w:rPr>
                <w:rFonts w:ascii="Verdana" w:hAnsi="Verdana" w:cstheme="minorHAnsi"/>
                <w:sz w:val="20"/>
                <w:szCs w:val="20"/>
              </w:rPr>
              <w:t>J</w:t>
            </w:r>
          </w:p>
        </w:tc>
        <w:tc>
          <w:tcPr>
            <w:tcW w:w="2879" w:type="dxa"/>
          </w:tcPr>
          <w:p w:rsidR="00D232A2" w:rsidRPr="00A469BC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6 de Mayo</w:t>
            </w:r>
          </w:p>
        </w:tc>
      </w:tr>
      <w:tr w:rsidR="00D232A2" w:rsidRPr="00A469BC" w:rsidTr="00E70B38">
        <w:tc>
          <w:tcPr>
            <w:tcW w:w="5949" w:type="dxa"/>
          </w:tcPr>
          <w:p w:rsidR="00D232A2" w:rsidRPr="00A469BC" w:rsidRDefault="004D2121" w:rsidP="00E70B3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2° Reunión del c</w:t>
            </w:r>
            <w:r w:rsidR="00D232A2" w:rsidRPr="00A469BC">
              <w:rPr>
                <w:rFonts w:ascii="Verdana" w:hAnsi="Verdana" w:cstheme="minorHAnsi"/>
                <w:sz w:val="20"/>
                <w:szCs w:val="20"/>
              </w:rPr>
              <w:t>onsultivo. Monit</w:t>
            </w:r>
            <w:r>
              <w:rPr>
                <w:rFonts w:ascii="Verdana" w:hAnsi="Verdana" w:cstheme="minorHAnsi"/>
                <w:sz w:val="20"/>
                <w:szCs w:val="20"/>
              </w:rPr>
              <w:t>oreo del proceso de l</w:t>
            </w:r>
            <w:r w:rsidR="00380193">
              <w:rPr>
                <w:rFonts w:ascii="Verdana" w:hAnsi="Verdana" w:cstheme="minorHAnsi"/>
                <w:sz w:val="20"/>
                <w:szCs w:val="20"/>
              </w:rPr>
              <w:t xml:space="preserve">icitación. </w:t>
            </w:r>
          </w:p>
        </w:tc>
        <w:tc>
          <w:tcPr>
            <w:tcW w:w="2879" w:type="dxa"/>
          </w:tcPr>
          <w:p w:rsidR="00D232A2" w:rsidRPr="00A469BC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Junio</w:t>
            </w:r>
          </w:p>
        </w:tc>
      </w:tr>
      <w:tr w:rsidR="00D232A2" w:rsidRPr="00A469BC" w:rsidTr="00E70B38">
        <w:tc>
          <w:tcPr>
            <w:tcW w:w="5949" w:type="dxa"/>
          </w:tcPr>
          <w:p w:rsidR="00D232A2" w:rsidRPr="00A469BC" w:rsidRDefault="00D232A2" w:rsidP="00E70B3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Presentación de la experien</w:t>
            </w:r>
            <w:r w:rsidR="004D2121">
              <w:rPr>
                <w:rFonts w:ascii="Verdana" w:hAnsi="Verdana" w:cstheme="minorHAnsi"/>
                <w:sz w:val="20"/>
                <w:szCs w:val="20"/>
              </w:rPr>
              <w:t xml:space="preserve">cia de </w:t>
            </w:r>
            <w:proofErr w:type="spellStart"/>
            <w:r w:rsidR="004D2121">
              <w:rPr>
                <w:rFonts w:ascii="Verdana" w:hAnsi="Verdana" w:cstheme="minorHAnsi"/>
                <w:sz w:val="20"/>
                <w:szCs w:val="20"/>
              </w:rPr>
              <w:t>Serpaj</w:t>
            </w:r>
            <w:proofErr w:type="spellEnd"/>
            <w:r w:rsidR="004D2121">
              <w:rPr>
                <w:rFonts w:ascii="Verdana" w:hAnsi="Verdana" w:cstheme="minorHAnsi"/>
                <w:sz w:val="20"/>
                <w:szCs w:val="20"/>
              </w:rPr>
              <w:t xml:space="preserve"> en el proceso de transformación en el n</w:t>
            </w:r>
            <w:r w:rsidRPr="00A469BC">
              <w:rPr>
                <w:rFonts w:ascii="Verdana" w:hAnsi="Verdana" w:cstheme="minorHAnsi"/>
                <w:sz w:val="20"/>
                <w:szCs w:val="20"/>
              </w:rPr>
              <w:t xml:space="preserve">orte </w:t>
            </w:r>
          </w:p>
        </w:tc>
        <w:tc>
          <w:tcPr>
            <w:tcW w:w="2879" w:type="dxa"/>
          </w:tcPr>
          <w:p w:rsidR="00D232A2" w:rsidRPr="00A469BC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Junio</w:t>
            </w:r>
          </w:p>
        </w:tc>
      </w:tr>
      <w:tr w:rsidR="00D232A2" w:rsidRPr="00A469BC" w:rsidTr="00E70B38">
        <w:tc>
          <w:tcPr>
            <w:tcW w:w="5949" w:type="dxa"/>
          </w:tcPr>
          <w:p w:rsidR="00D232A2" w:rsidRPr="00A469BC" w:rsidRDefault="00D232A2" w:rsidP="00E70B3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 xml:space="preserve">Inicio de ese proceso de acreditación </w:t>
            </w:r>
          </w:p>
        </w:tc>
        <w:tc>
          <w:tcPr>
            <w:tcW w:w="2879" w:type="dxa"/>
          </w:tcPr>
          <w:p w:rsidR="00D232A2" w:rsidRPr="00A469BC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13 de junio</w:t>
            </w:r>
          </w:p>
        </w:tc>
      </w:tr>
      <w:tr w:rsidR="00D232A2" w:rsidTr="00E70B38">
        <w:tc>
          <w:tcPr>
            <w:tcW w:w="5949" w:type="dxa"/>
          </w:tcPr>
          <w:p w:rsidR="00D232A2" w:rsidRPr="00A469BC" w:rsidRDefault="004D2121" w:rsidP="00E70B3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Constitución de  las direcciones r</w:t>
            </w:r>
            <w:r w:rsidR="00D232A2">
              <w:rPr>
                <w:rFonts w:ascii="Verdana" w:hAnsi="Verdana" w:cstheme="minorHAnsi"/>
                <w:sz w:val="20"/>
                <w:szCs w:val="20"/>
              </w:rPr>
              <w:t>egionales de Macrozona Sur</w:t>
            </w:r>
          </w:p>
        </w:tc>
        <w:tc>
          <w:tcPr>
            <w:tcW w:w="2879" w:type="dxa"/>
          </w:tcPr>
          <w:p w:rsidR="00D232A2" w:rsidRDefault="00D232A2" w:rsidP="00E70B3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469BC">
              <w:rPr>
                <w:rFonts w:ascii="Verdana" w:hAnsi="Verdana" w:cstheme="minorHAnsi"/>
                <w:sz w:val="20"/>
                <w:szCs w:val="20"/>
              </w:rPr>
              <w:t>13 de julio</w:t>
            </w:r>
          </w:p>
        </w:tc>
      </w:tr>
    </w:tbl>
    <w:p w:rsidR="00D232A2" w:rsidRDefault="00D232A2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442C1B" w:rsidRDefault="00442C1B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442C1B" w:rsidRDefault="00442C1B" w:rsidP="008D276C">
      <w:pPr>
        <w:spacing w:after="160"/>
        <w:jc w:val="both"/>
        <w:rPr>
          <w:rFonts w:eastAsia="Times New Roman" w:cstheme="minorHAnsi"/>
          <w:color w:val="000000"/>
          <w:kern w:val="0"/>
          <w:sz w:val="22"/>
          <w:szCs w:val="22"/>
          <w:lang w:eastAsia="es-MX"/>
          <w14:ligatures w14:val="none"/>
        </w:rPr>
      </w:pPr>
    </w:p>
    <w:p w:rsidR="00442C1B" w:rsidRPr="00442C1B" w:rsidRDefault="00442C1B" w:rsidP="008D276C">
      <w:pPr>
        <w:spacing w:after="160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es-MX"/>
          <w14:ligatures w14:val="none"/>
        </w:rPr>
      </w:pPr>
      <w:bookmarkStart w:id="0" w:name="_GoBack"/>
      <w:bookmarkEnd w:id="0"/>
      <w:r w:rsidRPr="00442C1B">
        <w:rPr>
          <w:rFonts w:eastAsia="Times New Roman" w:cstheme="minorHAnsi"/>
          <w:b/>
          <w:color w:val="000000"/>
          <w:kern w:val="0"/>
          <w:sz w:val="20"/>
          <w:szCs w:val="20"/>
          <w:lang w:eastAsia="es-MX"/>
          <w14:ligatures w14:val="none"/>
        </w:rPr>
        <w:t>02 de mayo 2024</w:t>
      </w:r>
    </w:p>
    <w:sectPr w:rsidR="00442C1B" w:rsidRPr="00442C1B" w:rsidSect="00F6589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A6" w:rsidRDefault="000210A6" w:rsidP="00F66CD6">
      <w:r>
        <w:separator/>
      </w:r>
    </w:p>
  </w:endnote>
  <w:endnote w:type="continuationSeparator" w:id="0">
    <w:p w:rsidR="000210A6" w:rsidRDefault="000210A6" w:rsidP="00F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734667"/>
      <w:docPartObj>
        <w:docPartGallery w:val="Page Numbers (Bottom of Page)"/>
        <w:docPartUnique/>
      </w:docPartObj>
    </w:sdtPr>
    <w:sdtEndPr/>
    <w:sdtContent>
      <w:p w:rsidR="00E96FB6" w:rsidRDefault="00E96F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21" w:rsidRPr="004D2121">
          <w:rPr>
            <w:noProof/>
            <w:lang w:val="es-ES"/>
          </w:rPr>
          <w:t>4</w:t>
        </w:r>
        <w:r>
          <w:fldChar w:fldCharType="end"/>
        </w:r>
      </w:p>
    </w:sdtContent>
  </w:sdt>
  <w:p w:rsidR="00E96FB6" w:rsidRDefault="00E96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A6" w:rsidRDefault="000210A6" w:rsidP="00F66CD6">
      <w:r>
        <w:separator/>
      </w:r>
    </w:p>
  </w:footnote>
  <w:footnote w:type="continuationSeparator" w:id="0">
    <w:p w:rsidR="000210A6" w:rsidRDefault="000210A6" w:rsidP="00F6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D6" w:rsidRDefault="000210A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86.25pt">
          <v:imagedata r:id="rId1" o:title="logo-sename-2023-v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ACD"/>
    <w:multiLevelType w:val="hybridMultilevel"/>
    <w:tmpl w:val="AF42F920"/>
    <w:lvl w:ilvl="0" w:tplc="EEA616BC">
      <w:start w:val="6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A78F8"/>
    <w:multiLevelType w:val="hybridMultilevel"/>
    <w:tmpl w:val="50E608AC"/>
    <w:lvl w:ilvl="0" w:tplc="4B24126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3F"/>
    <w:rsid w:val="0000720D"/>
    <w:rsid w:val="000101BA"/>
    <w:rsid w:val="000210A6"/>
    <w:rsid w:val="00054B7F"/>
    <w:rsid w:val="00067AF3"/>
    <w:rsid w:val="00070C40"/>
    <w:rsid w:val="000D2DAA"/>
    <w:rsid w:val="000E5264"/>
    <w:rsid w:val="000E636B"/>
    <w:rsid w:val="001144ED"/>
    <w:rsid w:val="00122D53"/>
    <w:rsid w:val="0016406B"/>
    <w:rsid w:val="001D30CD"/>
    <w:rsid w:val="001E29F5"/>
    <w:rsid w:val="00221E99"/>
    <w:rsid w:val="0029260F"/>
    <w:rsid w:val="002B042A"/>
    <w:rsid w:val="002B3BFA"/>
    <w:rsid w:val="002B740A"/>
    <w:rsid w:val="002E4CBE"/>
    <w:rsid w:val="00343D3F"/>
    <w:rsid w:val="00351190"/>
    <w:rsid w:val="00380193"/>
    <w:rsid w:val="003A3D83"/>
    <w:rsid w:val="00432158"/>
    <w:rsid w:val="00442C1B"/>
    <w:rsid w:val="00481A00"/>
    <w:rsid w:val="004B233C"/>
    <w:rsid w:val="004D2121"/>
    <w:rsid w:val="004D6AC4"/>
    <w:rsid w:val="004F073C"/>
    <w:rsid w:val="00501179"/>
    <w:rsid w:val="005A3458"/>
    <w:rsid w:val="005E6193"/>
    <w:rsid w:val="005F20FE"/>
    <w:rsid w:val="00610CD5"/>
    <w:rsid w:val="006532B1"/>
    <w:rsid w:val="00665875"/>
    <w:rsid w:val="006934FA"/>
    <w:rsid w:val="006A503E"/>
    <w:rsid w:val="006B036C"/>
    <w:rsid w:val="006C4A0A"/>
    <w:rsid w:val="006F5A0D"/>
    <w:rsid w:val="0071187B"/>
    <w:rsid w:val="0074509E"/>
    <w:rsid w:val="00805399"/>
    <w:rsid w:val="00823DE6"/>
    <w:rsid w:val="008456F5"/>
    <w:rsid w:val="00845B83"/>
    <w:rsid w:val="00882702"/>
    <w:rsid w:val="008950E9"/>
    <w:rsid w:val="008972AF"/>
    <w:rsid w:val="008B325B"/>
    <w:rsid w:val="008D276C"/>
    <w:rsid w:val="00902705"/>
    <w:rsid w:val="00930E49"/>
    <w:rsid w:val="00941750"/>
    <w:rsid w:val="009C2B5F"/>
    <w:rsid w:val="00A37A6E"/>
    <w:rsid w:val="00A52D9C"/>
    <w:rsid w:val="00A55DF1"/>
    <w:rsid w:val="00AD58E2"/>
    <w:rsid w:val="00AE6AFF"/>
    <w:rsid w:val="00AE6E4F"/>
    <w:rsid w:val="00B115FC"/>
    <w:rsid w:val="00B51B04"/>
    <w:rsid w:val="00B6109F"/>
    <w:rsid w:val="00B632B2"/>
    <w:rsid w:val="00B81670"/>
    <w:rsid w:val="00BB5D1A"/>
    <w:rsid w:val="00BC0FAB"/>
    <w:rsid w:val="00C05772"/>
    <w:rsid w:val="00C6616B"/>
    <w:rsid w:val="00CD539E"/>
    <w:rsid w:val="00CF6F3F"/>
    <w:rsid w:val="00D161AB"/>
    <w:rsid w:val="00D232A2"/>
    <w:rsid w:val="00D874B0"/>
    <w:rsid w:val="00D94856"/>
    <w:rsid w:val="00DE611D"/>
    <w:rsid w:val="00DF0C77"/>
    <w:rsid w:val="00DF2BE4"/>
    <w:rsid w:val="00E23598"/>
    <w:rsid w:val="00E445B0"/>
    <w:rsid w:val="00E44C28"/>
    <w:rsid w:val="00E51576"/>
    <w:rsid w:val="00E57D47"/>
    <w:rsid w:val="00E708FD"/>
    <w:rsid w:val="00E77BC4"/>
    <w:rsid w:val="00E96FB6"/>
    <w:rsid w:val="00EE3CDE"/>
    <w:rsid w:val="00F2599A"/>
    <w:rsid w:val="00F42F1B"/>
    <w:rsid w:val="00F65897"/>
    <w:rsid w:val="00F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68C07"/>
  <w15:chartTrackingRefBased/>
  <w15:docId w15:val="{4851E94C-BF94-6547-937E-8F1010BC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F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7450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6C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CD6"/>
  </w:style>
  <w:style w:type="paragraph" w:styleId="Piedepgina">
    <w:name w:val="footer"/>
    <w:basedOn w:val="Normal"/>
    <w:link w:val="PiedepginaCar"/>
    <w:uiPriority w:val="99"/>
    <w:unhideWhenUsed/>
    <w:rsid w:val="00F66C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FFFA-AE40-45CE-9871-8F79A822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Salas, Claudia</dc:creator>
  <cp:keywords/>
  <dc:description/>
  <cp:lastModifiedBy>Muñoz Gaete, Catalina</cp:lastModifiedBy>
  <cp:revision>6</cp:revision>
  <dcterms:created xsi:type="dcterms:W3CDTF">2024-05-02T16:55:00Z</dcterms:created>
  <dcterms:modified xsi:type="dcterms:W3CDTF">2024-05-02T21:05:00Z</dcterms:modified>
</cp:coreProperties>
</file>