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2A1E3" w14:textId="6B294D3A" w:rsidR="00C317D4" w:rsidRPr="006E4775" w:rsidRDefault="00CC2B1D" w:rsidP="00526758">
      <w:pPr>
        <w:pStyle w:val="Ttulo"/>
        <w:ind w:left="720" w:hanging="720"/>
        <w:jc w:val="center"/>
      </w:pPr>
      <w:r w:rsidRPr="006E4775">
        <w:t xml:space="preserve">Anexo </w:t>
      </w:r>
      <w:r w:rsidR="00293B47" w:rsidRPr="006E4775">
        <w:t>Guía 1</w:t>
      </w:r>
    </w:p>
    <w:p w14:paraId="619F4F46" w14:textId="65280E48" w:rsidR="00C317D4" w:rsidRPr="006E4775" w:rsidRDefault="00C317D4" w:rsidP="00C317D4">
      <w:pPr>
        <w:pStyle w:val="Ttulo"/>
        <w:jc w:val="center"/>
        <w:rPr>
          <w:sz w:val="52"/>
          <w:szCs w:val="52"/>
        </w:rPr>
      </w:pPr>
      <w:r w:rsidRPr="006E4775">
        <w:rPr>
          <w:noProof/>
          <w:szCs w:val="22"/>
        </w:rPr>
        <w:drawing>
          <wp:anchor distT="0" distB="0" distL="114300" distR="114300" simplePos="0" relativeHeight="251674624" behindDoc="1" locked="0" layoutInCell="1" allowOverlap="1" wp14:anchorId="5645D12E" wp14:editId="339D6CDF">
            <wp:simplePos x="0" y="0"/>
            <wp:positionH relativeFrom="margin">
              <wp:posOffset>5574030</wp:posOffset>
            </wp:positionH>
            <wp:positionV relativeFrom="paragraph">
              <wp:posOffset>1662430</wp:posOffset>
            </wp:positionV>
            <wp:extent cx="142875" cy="508000"/>
            <wp:effectExtent l="0" t="0" r="9525" b="635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508000"/>
                    </a:xfrm>
                    <a:prstGeom prst="rect">
                      <a:avLst/>
                    </a:prstGeom>
                    <a:noFill/>
                    <a:ln>
                      <a:noFill/>
                    </a:ln>
                  </pic:spPr>
                </pic:pic>
              </a:graphicData>
            </a:graphic>
            <wp14:sizeRelH relativeFrom="margin">
              <wp14:pctWidth>0</wp14:pctWidth>
            </wp14:sizeRelH>
          </wp:anchor>
        </w:drawing>
      </w:r>
      <w:r w:rsidRPr="006E4775">
        <w:rPr>
          <w:noProof/>
          <w:szCs w:val="22"/>
        </w:rPr>
        <w:drawing>
          <wp:anchor distT="0" distB="0" distL="114300" distR="114300" simplePos="0" relativeHeight="251672576" behindDoc="0" locked="0" layoutInCell="1" allowOverlap="1" wp14:anchorId="6D54C9A3" wp14:editId="32BA18E3">
            <wp:simplePos x="0" y="0"/>
            <wp:positionH relativeFrom="margin">
              <wp:posOffset>-104775</wp:posOffset>
            </wp:positionH>
            <wp:positionV relativeFrom="paragraph">
              <wp:posOffset>184150</wp:posOffset>
            </wp:positionV>
            <wp:extent cx="127000" cy="508000"/>
            <wp:effectExtent l="0" t="0" r="6350" b="6350"/>
            <wp:wrapThrough wrapText="bothSides">
              <wp:wrapPolygon edited="0">
                <wp:start x="0" y="0"/>
                <wp:lineTo x="0" y="21060"/>
                <wp:lineTo x="19440" y="21060"/>
                <wp:lineTo x="19440" y="0"/>
                <wp:lineTo x="0" y="0"/>
              </wp:wrapPolygon>
            </wp:wrapThrough>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7000" cy="508000"/>
                    </a:xfrm>
                    <a:prstGeom prst="rect">
                      <a:avLst/>
                    </a:prstGeom>
                    <a:noFill/>
                    <a:ln>
                      <a:noFill/>
                    </a:ln>
                  </pic:spPr>
                </pic:pic>
              </a:graphicData>
            </a:graphic>
          </wp:anchor>
        </w:drawing>
      </w:r>
      <w:r w:rsidR="00293B47" w:rsidRPr="006E4775">
        <w:rPr>
          <w:sz w:val="52"/>
          <w:szCs w:val="52"/>
        </w:rPr>
        <w:t>D</w:t>
      </w:r>
      <w:r w:rsidRPr="006E4775">
        <w:rPr>
          <w:sz w:val="52"/>
          <w:szCs w:val="52"/>
        </w:rPr>
        <w:t>escripción contextual de principales países de población migrante en la red de Justicia Juvenil en Chile. Información base para una intervención intercultural</w:t>
      </w:r>
    </w:p>
    <w:p w14:paraId="66DFB231" w14:textId="40F1995A" w:rsidR="00293B47" w:rsidRPr="006E4775" w:rsidRDefault="00293B47" w:rsidP="00293B47">
      <w:pPr>
        <w:pStyle w:val="Ttulo"/>
        <w:jc w:val="center"/>
        <w:rPr>
          <w:sz w:val="52"/>
          <w:szCs w:val="52"/>
        </w:rPr>
      </w:pPr>
    </w:p>
    <w:p w14:paraId="6EBD4A43" w14:textId="2F0B593F" w:rsidR="00293B47" w:rsidRPr="006E4775" w:rsidRDefault="00293B47" w:rsidP="00C317D4">
      <w:pPr>
        <w:rPr>
          <w:rFonts w:ascii="Cambria" w:hAnsi="Cambria"/>
          <w:color w:val="000000" w:themeColor="text1"/>
          <w:sz w:val="28"/>
        </w:rPr>
      </w:pPr>
    </w:p>
    <w:p w14:paraId="420772AA" w14:textId="1BBD2F13" w:rsidR="00293B47" w:rsidRPr="006E4775" w:rsidRDefault="00293B47" w:rsidP="00293B47">
      <w:pPr>
        <w:jc w:val="center"/>
        <w:rPr>
          <w:rFonts w:ascii="Cambria" w:hAnsi="Cambria"/>
          <w:color w:val="000000" w:themeColor="text1"/>
          <w:sz w:val="28"/>
        </w:rPr>
      </w:pPr>
    </w:p>
    <w:p w14:paraId="0EF6D627" w14:textId="2A9660DA" w:rsidR="00293B47" w:rsidRPr="006E4775" w:rsidRDefault="00293B47" w:rsidP="00293B47">
      <w:pPr>
        <w:jc w:val="center"/>
        <w:rPr>
          <w:rFonts w:ascii="Cambria" w:hAnsi="Cambria"/>
          <w:color w:val="000000" w:themeColor="text1"/>
          <w:sz w:val="28"/>
        </w:rPr>
      </w:pPr>
    </w:p>
    <w:p w14:paraId="570553FA" w14:textId="09B60AB6" w:rsidR="00293B47" w:rsidRPr="006E4775" w:rsidRDefault="00293B47" w:rsidP="00293B47">
      <w:pPr>
        <w:jc w:val="center"/>
        <w:rPr>
          <w:rFonts w:ascii="Garamond" w:hAnsi="Garamond"/>
          <w:color w:val="000000" w:themeColor="text1"/>
          <w:sz w:val="28"/>
          <w:szCs w:val="28"/>
        </w:rPr>
      </w:pPr>
    </w:p>
    <w:p w14:paraId="2EC3FAEC" w14:textId="33BA2D6C" w:rsidR="00293B47" w:rsidRPr="006E4775" w:rsidRDefault="00293B47" w:rsidP="00293B47">
      <w:pPr>
        <w:rPr>
          <w:rFonts w:ascii="Garamond" w:hAnsi="Garamond"/>
          <w:color w:val="000000" w:themeColor="text1"/>
          <w:sz w:val="28"/>
          <w:szCs w:val="28"/>
        </w:rPr>
      </w:pPr>
      <w:r w:rsidRPr="006E4775">
        <w:rPr>
          <w:rFonts w:ascii="Garamond" w:hAnsi="Garamond"/>
          <w:b/>
          <w:bCs/>
          <w:color w:val="000000" w:themeColor="text1"/>
          <w:sz w:val="28"/>
          <w:szCs w:val="28"/>
        </w:rPr>
        <w:t>Contraparte:</w:t>
      </w:r>
      <w:r w:rsidRPr="006E4775">
        <w:rPr>
          <w:rFonts w:ascii="Garamond" w:hAnsi="Garamond"/>
          <w:color w:val="000000" w:themeColor="text1"/>
          <w:sz w:val="28"/>
          <w:szCs w:val="28"/>
        </w:rPr>
        <w:t xml:space="preserve"> Servicio Nacional de Menores (SENAME)</w:t>
      </w:r>
    </w:p>
    <w:p w14:paraId="32D29A32" w14:textId="086D6047" w:rsidR="00293B47" w:rsidRPr="006E4775" w:rsidRDefault="00293B47" w:rsidP="00293B47">
      <w:pPr>
        <w:spacing w:before="120" w:after="120"/>
        <w:rPr>
          <w:rFonts w:ascii="Garamond" w:hAnsi="Garamond"/>
          <w:sz w:val="28"/>
          <w:szCs w:val="28"/>
        </w:rPr>
      </w:pPr>
      <w:r w:rsidRPr="006E4775">
        <w:rPr>
          <w:rFonts w:ascii="Garamond" w:hAnsi="Garamond"/>
          <w:b/>
          <w:sz w:val="28"/>
          <w:szCs w:val="28"/>
        </w:rPr>
        <w:t xml:space="preserve">Responsable técnico del estudio: </w:t>
      </w:r>
      <w:r w:rsidRPr="006E4775">
        <w:rPr>
          <w:rFonts w:ascii="Garamond" w:hAnsi="Garamond"/>
          <w:sz w:val="28"/>
          <w:szCs w:val="28"/>
        </w:rPr>
        <w:t>Centro de Estudios Justicia y Sociedad, Pontificia Universidad Católica de Chile</w:t>
      </w:r>
    </w:p>
    <w:p w14:paraId="671347AD" w14:textId="69B1A76A" w:rsidR="00293B47" w:rsidRPr="006E4775" w:rsidRDefault="00293B47" w:rsidP="00293B47">
      <w:pPr>
        <w:spacing w:before="120" w:after="120"/>
        <w:rPr>
          <w:rFonts w:ascii="Garamond" w:hAnsi="Garamond"/>
          <w:sz w:val="28"/>
          <w:szCs w:val="28"/>
        </w:rPr>
      </w:pPr>
    </w:p>
    <w:p w14:paraId="5F70791A" w14:textId="2486C5DE" w:rsidR="00293B47" w:rsidRPr="006E4775" w:rsidRDefault="00293B47" w:rsidP="00293B47">
      <w:pPr>
        <w:spacing w:before="120" w:after="120"/>
        <w:rPr>
          <w:rFonts w:ascii="Garamond" w:hAnsi="Garamond"/>
          <w:b/>
          <w:sz w:val="28"/>
          <w:szCs w:val="28"/>
        </w:rPr>
      </w:pPr>
      <w:r w:rsidRPr="006E4775">
        <w:rPr>
          <w:rFonts w:ascii="Garamond" w:hAnsi="Garamond"/>
          <w:sz w:val="28"/>
          <w:szCs w:val="28"/>
        </w:rPr>
        <w:t>Julio 2022</w:t>
      </w:r>
    </w:p>
    <w:p w14:paraId="571DF1D0" w14:textId="0E27063C" w:rsidR="00293B47" w:rsidRPr="006E4775" w:rsidRDefault="00293B47" w:rsidP="00293B47">
      <w:pPr>
        <w:rPr>
          <w:rFonts w:ascii="Cambria" w:hAnsi="Cambria" w:cs="Arial"/>
          <w:sz w:val="24"/>
          <w:lang w:val="es-ES"/>
        </w:rPr>
      </w:pPr>
    </w:p>
    <w:p w14:paraId="42262F62" w14:textId="26C4CC55" w:rsidR="00293B47" w:rsidRPr="006E4775" w:rsidRDefault="00293B47" w:rsidP="00293B47">
      <w:pPr>
        <w:pStyle w:val="Ttulo"/>
        <w:rPr>
          <w:sz w:val="52"/>
          <w:szCs w:val="52"/>
        </w:rPr>
      </w:pPr>
      <w:r w:rsidRPr="006E4775">
        <w:br w:type="page"/>
      </w:r>
    </w:p>
    <w:p w14:paraId="5F88753B" w14:textId="110651D2" w:rsidR="00293B47" w:rsidRPr="006E4775" w:rsidRDefault="00293B47"/>
    <w:p w14:paraId="3A7DA2A8" w14:textId="77777777" w:rsidR="00293B47" w:rsidRPr="006E4775" w:rsidRDefault="00293B47"/>
    <w:p w14:paraId="74E2AA20" w14:textId="36A592D9" w:rsidR="00293B47" w:rsidRPr="006E4775" w:rsidRDefault="00293B47"/>
    <w:sdt>
      <w:sdtPr>
        <w:rPr>
          <w:rFonts w:ascii="Calibri" w:eastAsia="Calibri" w:hAnsi="Calibri" w:cs="Calibri"/>
          <w:color w:val="auto"/>
          <w:sz w:val="22"/>
          <w:szCs w:val="22"/>
          <w:lang w:val="es-ES"/>
        </w:rPr>
        <w:id w:val="146326427"/>
        <w:docPartObj>
          <w:docPartGallery w:val="Table of Contents"/>
          <w:docPartUnique/>
        </w:docPartObj>
      </w:sdtPr>
      <w:sdtEndPr>
        <w:rPr>
          <w:b/>
          <w:bCs/>
        </w:rPr>
      </w:sdtEndPr>
      <w:sdtContent>
        <w:p w14:paraId="2437209D" w14:textId="0D189D6E" w:rsidR="00F74C7B" w:rsidRPr="006E4775" w:rsidRDefault="00F74C7B">
          <w:pPr>
            <w:pStyle w:val="TtuloTDC"/>
          </w:pPr>
          <w:r w:rsidRPr="006E4775">
            <w:rPr>
              <w:lang w:val="es-ES"/>
            </w:rPr>
            <w:t>Contenido</w:t>
          </w:r>
        </w:p>
        <w:p w14:paraId="37B40901" w14:textId="2CBC169E" w:rsidR="00F74C7B" w:rsidRPr="006E4775" w:rsidRDefault="00F74C7B" w:rsidP="00F74C7B">
          <w:pPr>
            <w:pStyle w:val="TDC1"/>
            <w:tabs>
              <w:tab w:val="right" w:leader="dot" w:pos="8828"/>
            </w:tabs>
            <w:spacing w:after="0" w:line="240" w:lineRule="auto"/>
            <w:rPr>
              <w:noProof/>
            </w:rPr>
          </w:pPr>
          <w:r w:rsidRPr="006E4775">
            <w:fldChar w:fldCharType="begin"/>
          </w:r>
          <w:r w:rsidRPr="006E4775">
            <w:instrText xml:space="preserve"> TOC \o "1-3" \h \z \u </w:instrText>
          </w:r>
          <w:r w:rsidRPr="006E4775">
            <w:fldChar w:fldCharType="separate"/>
          </w:r>
          <w:hyperlink w:anchor="_Toc108799412" w:history="1">
            <w:r w:rsidRPr="006E4775">
              <w:rPr>
                <w:rStyle w:val="Hipervnculo"/>
                <w:noProof/>
              </w:rPr>
              <w:t>Introducción</w:t>
            </w:r>
            <w:r w:rsidRPr="006E4775">
              <w:rPr>
                <w:noProof/>
                <w:webHidden/>
              </w:rPr>
              <w:tab/>
            </w:r>
            <w:r w:rsidRPr="006E4775">
              <w:rPr>
                <w:noProof/>
                <w:webHidden/>
              </w:rPr>
              <w:fldChar w:fldCharType="begin"/>
            </w:r>
            <w:r w:rsidRPr="006E4775">
              <w:rPr>
                <w:noProof/>
                <w:webHidden/>
              </w:rPr>
              <w:instrText xml:space="preserve"> PAGEREF _Toc108799412 \h </w:instrText>
            </w:r>
            <w:r w:rsidRPr="006E4775">
              <w:rPr>
                <w:noProof/>
                <w:webHidden/>
              </w:rPr>
            </w:r>
            <w:r w:rsidRPr="006E4775">
              <w:rPr>
                <w:noProof/>
                <w:webHidden/>
              </w:rPr>
              <w:fldChar w:fldCharType="separate"/>
            </w:r>
            <w:r w:rsidRPr="006E4775">
              <w:rPr>
                <w:noProof/>
                <w:webHidden/>
              </w:rPr>
              <w:t>3</w:t>
            </w:r>
            <w:r w:rsidRPr="006E4775">
              <w:rPr>
                <w:noProof/>
                <w:webHidden/>
              </w:rPr>
              <w:fldChar w:fldCharType="end"/>
            </w:r>
          </w:hyperlink>
        </w:p>
        <w:p w14:paraId="10CA4521" w14:textId="45B59058" w:rsidR="00F74C7B" w:rsidRPr="006E4775" w:rsidRDefault="00000000" w:rsidP="00F74C7B">
          <w:pPr>
            <w:pStyle w:val="TDC2"/>
            <w:tabs>
              <w:tab w:val="right" w:leader="dot" w:pos="8828"/>
            </w:tabs>
            <w:spacing w:after="0" w:line="240" w:lineRule="auto"/>
            <w:rPr>
              <w:noProof/>
            </w:rPr>
          </w:pPr>
          <w:hyperlink w:anchor="_Toc108799413" w:history="1">
            <w:r w:rsidR="00F74C7B" w:rsidRPr="006E4775">
              <w:rPr>
                <w:rStyle w:val="Hipervnculo"/>
                <w:noProof/>
              </w:rPr>
              <w:t>Antecedentes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_Toc108799413 \h </w:instrText>
            </w:r>
            <w:r w:rsidR="00F74C7B" w:rsidRPr="006E4775">
              <w:rPr>
                <w:noProof/>
                <w:webHidden/>
              </w:rPr>
            </w:r>
            <w:r w:rsidR="00F74C7B" w:rsidRPr="006E4775">
              <w:rPr>
                <w:noProof/>
                <w:webHidden/>
              </w:rPr>
              <w:fldChar w:fldCharType="separate"/>
            </w:r>
            <w:r w:rsidR="00F74C7B" w:rsidRPr="006E4775">
              <w:rPr>
                <w:noProof/>
                <w:webHidden/>
              </w:rPr>
              <w:t>3</w:t>
            </w:r>
            <w:r w:rsidR="00F74C7B" w:rsidRPr="006E4775">
              <w:rPr>
                <w:noProof/>
                <w:webHidden/>
              </w:rPr>
              <w:fldChar w:fldCharType="end"/>
            </w:r>
          </w:hyperlink>
        </w:p>
        <w:p w14:paraId="3ACACDB1" w14:textId="0A89ECB5" w:rsidR="00F74C7B" w:rsidRPr="006E4775" w:rsidRDefault="00000000" w:rsidP="00F74C7B">
          <w:pPr>
            <w:pStyle w:val="TDC2"/>
            <w:tabs>
              <w:tab w:val="right" w:leader="dot" w:pos="8828"/>
            </w:tabs>
            <w:spacing w:after="0" w:line="240" w:lineRule="auto"/>
            <w:rPr>
              <w:noProof/>
            </w:rPr>
          </w:pPr>
          <w:hyperlink w:anchor="_Toc108799414" w:history="1">
            <w:r w:rsidR="00F74C7B" w:rsidRPr="006E4775">
              <w:rPr>
                <w:rStyle w:val="Hipervnculo"/>
                <w:noProof/>
              </w:rPr>
              <w:t>Contenido y fuentes de información</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_Toc108799414 \h </w:instrText>
            </w:r>
            <w:r w:rsidR="00F74C7B" w:rsidRPr="006E4775">
              <w:rPr>
                <w:noProof/>
                <w:webHidden/>
              </w:rPr>
            </w:r>
            <w:r w:rsidR="00F74C7B" w:rsidRPr="006E4775">
              <w:rPr>
                <w:noProof/>
                <w:webHidden/>
              </w:rPr>
              <w:fldChar w:fldCharType="separate"/>
            </w:r>
            <w:r w:rsidR="00F74C7B" w:rsidRPr="006E4775">
              <w:rPr>
                <w:noProof/>
                <w:webHidden/>
              </w:rPr>
              <w:t>3</w:t>
            </w:r>
            <w:r w:rsidR="00F74C7B" w:rsidRPr="006E4775">
              <w:rPr>
                <w:noProof/>
                <w:webHidden/>
              </w:rPr>
              <w:fldChar w:fldCharType="end"/>
            </w:r>
          </w:hyperlink>
        </w:p>
        <w:p w14:paraId="1141DCD1" w14:textId="0FF83583" w:rsidR="00F74C7B" w:rsidRPr="006E4775" w:rsidRDefault="00000000" w:rsidP="00F74C7B">
          <w:pPr>
            <w:pStyle w:val="TDC1"/>
            <w:tabs>
              <w:tab w:val="right" w:leader="dot" w:pos="8828"/>
            </w:tabs>
            <w:spacing w:after="0" w:line="240" w:lineRule="auto"/>
            <w:rPr>
              <w:noProof/>
            </w:rPr>
          </w:pPr>
          <w:hyperlink w:anchor="_Toc108799415" w:history="1">
            <w:r w:rsidR="00F74C7B" w:rsidRPr="006E4775">
              <w:rPr>
                <w:rStyle w:val="Hipervnculo"/>
                <w:noProof/>
              </w:rPr>
              <w:t>Descripción de países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_Toc108799415 \h </w:instrText>
            </w:r>
            <w:r w:rsidR="00F74C7B" w:rsidRPr="006E4775">
              <w:rPr>
                <w:noProof/>
                <w:webHidden/>
              </w:rPr>
            </w:r>
            <w:r w:rsidR="00F74C7B" w:rsidRPr="006E4775">
              <w:rPr>
                <w:noProof/>
                <w:webHidden/>
              </w:rPr>
              <w:fldChar w:fldCharType="separate"/>
            </w:r>
            <w:r w:rsidR="00F74C7B" w:rsidRPr="006E4775">
              <w:rPr>
                <w:noProof/>
                <w:webHidden/>
              </w:rPr>
              <w:t>1</w:t>
            </w:r>
            <w:r w:rsidR="00F74C7B" w:rsidRPr="006E4775">
              <w:rPr>
                <w:noProof/>
                <w:webHidden/>
              </w:rPr>
              <w:fldChar w:fldCharType="end"/>
            </w:r>
          </w:hyperlink>
        </w:p>
        <w:p w14:paraId="26C0E56A" w14:textId="195D1A19" w:rsidR="00F74C7B" w:rsidRPr="006E4775" w:rsidRDefault="00000000" w:rsidP="00F74C7B">
          <w:pPr>
            <w:pStyle w:val="TDC2"/>
            <w:tabs>
              <w:tab w:val="right" w:leader="dot" w:pos="8828"/>
            </w:tabs>
            <w:spacing w:after="0" w:line="240" w:lineRule="auto"/>
            <w:rPr>
              <w:noProof/>
            </w:rPr>
          </w:pPr>
          <w:hyperlink w:anchor="_Toc108799416" w:history="1">
            <w:r w:rsidR="00F74C7B" w:rsidRPr="006E4775">
              <w:rPr>
                <w:rStyle w:val="Hipervnculo"/>
                <w:noProof/>
              </w:rPr>
              <w:t>Colombia</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_Toc108799416 \h </w:instrText>
            </w:r>
            <w:r w:rsidR="00F74C7B" w:rsidRPr="006E4775">
              <w:rPr>
                <w:noProof/>
                <w:webHidden/>
              </w:rPr>
            </w:r>
            <w:r w:rsidR="00F74C7B" w:rsidRPr="006E4775">
              <w:rPr>
                <w:noProof/>
                <w:webHidden/>
              </w:rPr>
              <w:fldChar w:fldCharType="separate"/>
            </w:r>
            <w:r w:rsidR="00F74C7B" w:rsidRPr="006E4775">
              <w:rPr>
                <w:noProof/>
                <w:webHidden/>
              </w:rPr>
              <w:t>1</w:t>
            </w:r>
            <w:r w:rsidR="00F74C7B" w:rsidRPr="006E4775">
              <w:rPr>
                <w:noProof/>
                <w:webHidden/>
              </w:rPr>
              <w:fldChar w:fldCharType="end"/>
            </w:r>
          </w:hyperlink>
        </w:p>
        <w:p w14:paraId="512DE2C8" w14:textId="6D0B36DA" w:rsidR="00F74C7B" w:rsidRPr="006E4775" w:rsidRDefault="00000000" w:rsidP="00F74C7B">
          <w:pPr>
            <w:pStyle w:val="TDC3"/>
            <w:tabs>
              <w:tab w:val="right" w:leader="dot" w:pos="8828"/>
            </w:tabs>
            <w:spacing w:after="0" w:line="240" w:lineRule="auto"/>
            <w:rPr>
              <w:noProof/>
            </w:rPr>
          </w:pPr>
          <w:hyperlink w:anchor="_Toc108799417" w:history="1">
            <w:r w:rsidR="00F74C7B" w:rsidRPr="006E4775">
              <w:rPr>
                <w:rStyle w:val="Hipervnculo"/>
                <w:noProof/>
              </w:rPr>
              <w:t>Datos sociodemográficos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_Toc108799417 \h </w:instrText>
            </w:r>
            <w:r w:rsidR="00F74C7B" w:rsidRPr="006E4775">
              <w:rPr>
                <w:noProof/>
                <w:webHidden/>
              </w:rPr>
            </w:r>
            <w:r w:rsidR="00F74C7B" w:rsidRPr="006E4775">
              <w:rPr>
                <w:noProof/>
                <w:webHidden/>
              </w:rPr>
              <w:fldChar w:fldCharType="separate"/>
            </w:r>
            <w:r w:rsidR="00F74C7B" w:rsidRPr="006E4775">
              <w:rPr>
                <w:noProof/>
                <w:webHidden/>
              </w:rPr>
              <w:t>1</w:t>
            </w:r>
            <w:r w:rsidR="00F74C7B" w:rsidRPr="006E4775">
              <w:rPr>
                <w:noProof/>
                <w:webHidden/>
              </w:rPr>
              <w:fldChar w:fldCharType="end"/>
            </w:r>
          </w:hyperlink>
        </w:p>
        <w:p w14:paraId="6861F33D" w14:textId="6EE09552" w:rsidR="00F74C7B" w:rsidRPr="006E4775" w:rsidRDefault="00000000" w:rsidP="00F74C7B">
          <w:pPr>
            <w:pStyle w:val="TDC3"/>
            <w:tabs>
              <w:tab w:val="right" w:leader="dot" w:pos="8828"/>
            </w:tabs>
            <w:spacing w:after="0" w:line="240" w:lineRule="auto"/>
            <w:rPr>
              <w:noProof/>
            </w:rPr>
          </w:pPr>
          <w:hyperlink w:anchor="_Toc108799418" w:history="1">
            <w:r w:rsidR="00F74C7B" w:rsidRPr="006E4775">
              <w:rPr>
                <w:rStyle w:val="Hipervnculo"/>
                <w:noProof/>
              </w:rPr>
              <w:t>Descripción fenómeno migratorio del país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_Toc108799418 \h </w:instrText>
            </w:r>
            <w:r w:rsidR="00F74C7B" w:rsidRPr="006E4775">
              <w:rPr>
                <w:noProof/>
                <w:webHidden/>
              </w:rPr>
            </w:r>
            <w:r w:rsidR="00F74C7B" w:rsidRPr="006E4775">
              <w:rPr>
                <w:noProof/>
                <w:webHidden/>
              </w:rPr>
              <w:fldChar w:fldCharType="separate"/>
            </w:r>
            <w:r w:rsidR="00F74C7B" w:rsidRPr="006E4775">
              <w:rPr>
                <w:noProof/>
                <w:webHidden/>
              </w:rPr>
              <w:t>1</w:t>
            </w:r>
            <w:r w:rsidR="00F74C7B" w:rsidRPr="006E4775">
              <w:rPr>
                <w:noProof/>
                <w:webHidden/>
              </w:rPr>
              <w:fldChar w:fldCharType="end"/>
            </w:r>
          </w:hyperlink>
        </w:p>
        <w:p w14:paraId="10BD4A2C" w14:textId="3B2408E1" w:rsidR="00F74C7B" w:rsidRPr="006E4775" w:rsidRDefault="00000000" w:rsidP="00F74C7B">
          <w:pPr>
            <w:pStyle w:val="TDC3"/>
            <w:tabs>
              <w:tab w:val="right" w:leader="dot" w:pos="8828"/>
            </w:tabs>
            <w:spacing w:after="0" w:line="240" w:lineRule="auto"/>
            <w:rPr>
              <w:noProof/>
            </w:rPr>
          </w:pPr>
          <w:hyperlink w:anchor="_Toc108799419" w:history="1">
            <w:r w:rsidR="00F74C7B" w:rsidRPr="006E4775">
              <w:rPr>
                <w:rStyle w:val="Hipervnculo"/>
                <w:noProof/>
              </w:rPr>
              <w:t>Descripción sobre instituciones importantes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_Toc108799419 \h </w:instrText>
            </w:r>
            <w:r w:rsidR="00F74C7B" w:rsidRPr="006E4775">
              <w:rPr>
                <w:noProof/>
                <w:webHidden/>
              </w:rPr>
            </w:r>
            <w:r w:rsidR="00F74C7B" w:rsidRPr="006E4775">
              <w:rPr>
                <w:noProof/>
                <w:webHidden/>
              </w:rPr>
              <w:fldChar w:fldCharType="separate"/>
            </w:r>
            <w:r w:rsidR="00F74C7B" w:rsidRPr="006E4775">
              <w:rPr>
                <w:noProof/>
                <w:webHidden/>
              </w:rPr>
              <w:t>2</w:t>
            </w:r>
            <w:r w:rsidR="00F74C7B" w:rsidRPr="006E4775">
              <w:rPr>
                <w:noProof/>
                <w:webHidden/>
              </w:rPr>
              <w:fldChar w:fldCharType="end"/>
            </w:r>
          </w:hyperlink>
        </w:p>
        <w:p w14:paraId="48D339C0" w14:textId="67A5FED7" w:rsidR="00F74C7B" w:rsidRPr="006E4775" w:rsidRDefault="00000000" w:rsidP="00F74C7B">
          <w:pPr>
            <w:pStyle w:val="TDC3"/>
            <w:tabs>
              <w:tab w:val="right" w:leader="dot" w:pos="8828"/>
            </w:tabs>
            <w:spacing w:after="0" w:line="240" w:lineRule="auto"/>
            <w:rPr>
              <w:noProof/>
            </w:rPr>
          </w:pPr>
          <w:hyperlink w:anchor="_Toc108799420" w:history="1">
            <w:r w:rsidR="00F74C7B" w:rsidRPr="006E4775">
              <w:rPr>
                <w:rStyle w:val="Hipervnculo"/>
                <w:noProof/>
              </w:rPr>
              <w:t>Embajada y Consulados en Chile</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_Toc108799420 \h </w:instrText>
            </w:r>
            <w:r w:rsidR="00F74C7B" w:rsidRPr="006E4775">
              <w:rPr>
                <w:noProof/>
                <w:webHidden/>
              </w:rPr>
            </w:r>
            <w:r w:rsidR="00F74C7B" w:rsidRPr="006E4775">
              <w:rPr>
                <w:noProof/>
                <w:webHidden/>
              </w:rPr>
              <w:fldChar w:fldCharType="separate"/>
            </w:r>
            <w:r w:rsidR="00F74C7B" w:rsidRPr="006E4775">
              <w:rPr>
                <w:noProof/>
                <w:webHidden/>
              </w:rPr>
              <w:t>3</w:t>
            </w:r>
            <w:r w:rsidR="00F74C7B" w:rsidRPr="006E4775">
              <w:rPr>
                <w:noProof/>
                <w:webHidden/>
              </w:rPr>
              <w:fldChar w:fldCharType="end"/>
            </w:r>
          </w:hyperlink>
        </w:p>
        <w:p w14:paraId="6A5B4454" w14:textId="1B3B6D3A" w:rsidR="00F74C7B" w:rsidRPr="006E4775" w:rsidRDefault="00000000" w:rsidP="00F74C7B">
          <w:pPr>
            <w:pStyle w:val="TDC2"/>
            <w:tabs>
              <w:tab w:val="right" w:leader="dot" w:pos="8828"/>
            </w:tabs>
            <w:spacing w:after="0" w:line="240" w:lineRule="auto"/>
            <w:rPr>
              <w:noProof/>
            </w:rPr>
          </w:pPr>
          <w:hyperlink w:anchor="_Toc108799421" w:history="1">
            <w:r w:rsidR="00F74C7B" w:rsidRPr="006E4775">
              <w:rPr>
                <w:rStyle w:val="Hipervnculo"/>
                <w:noProof/>
              </w:rPr>
              <w:t>República de Perú (Piruw)</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_Toc108799421 \h </w:instrText>
            </w:r>
            <w:r w:rsidR="00F74C7B" w:rsidRPr="006E4775">
              <w:rPr>
                <w:noProof/>
                <w:webHidden/>
              </w:rPr>
            </w:r>
            <w:r w:rsidR="00F74C7B" w:rsidRPr="006E4775">
              <w:rPr>
                <w:noProof/>
                <w:webHidden/>
              </w:rPr>
              <w:fldChar w:fldCharType="separate"/>
            </w:r>
            <w:r w:rsidR="00F74C7B" w:rsidRPr="006E4775">
              <w:rPr>
                <w:noProof/>
                <w:webHidden/>
              </w:rPr>
              <w:t>3</w:t>
            </w:r>
            <w:r w:rsidR="00F74C7B" w:rsidRPr="006E4775">
              <w:rPr>
                <w:noProof/>
                <w:webHidden/>
              </w:rPr>
              <w:fldChar w:fldCharType="end"/>
            </w:r>
          </w:hyperlink>
        </w:p>
        <w:p w14:paraId="4A593297" w14:textId="3400289A" w:rsidR="00F74C7B" w:rsidRPr="006E4775" w:rsidRDefault="00000000" w:rsidP="00F74C7B">
          <w:pPr>
            <w:pStyle w:val="TDC3"/>
            <w:tabs>
              <w:tab w:val="right" w:leader="dot" w:pos="8828"/>
            </w:tabs>
            <w:spacing w:after="0" w:line="240" w:lineRule="auto"/>
            <w:rPr>
              <w:noProof/>
            </w:rPr>
          </w:pPr>
          <w:hyperlink w:anchor="_Toc108799422" w:history="1">
            <w:r w:rsidR="00F74C7B" w:rsidRPr="006E4775">
              <w:rPr>
                <w:rStyle w:val="Hipervnculo"/>
                <w:noProof/>
              </w:rPr>
              <w:t>Datos sociodemográficos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_Toc108799422 \h </w:instrText>
            </w:r>
            <w:r w:rsidR="00F74C7B" w:rsidRPr="006E4775">
              <w:rPr>
                <w:noProof/>
                <w:webHidden/>
              </w:rPr>
            </w:r>
            <w:r w:rsidR="00F74C7B" w:rsidRPr="006E4775">
              <w:rPr>
                <w:noProof/>
                <w:webHidden/>
              </w:rPr>
              <w:fldChar w:fldCharType="separate"/>
            </w:r>
            <w:r w:rsidR="00F74C7B" w:rsidRPr="006E4775">
              <w:rPr>
                <w:noProof/>
                <w:webHidden/>
              </w:rPr>
              <w:t>3</w:t>
            </w:r>
            <w:r w:rsidR="00F74C7B" w:rsidRPr="006E4775">
              <w:rPr>
                <w:noProof/>
                <w:webHidden/>
              </w:rPr>
              <w:fldChar w:fldCharType="end"/>
            </w:r>
          </w:hyperlink>
        </w:p>
        <w:p w14:paraId="5AF6B028" w14:textId="11B7E39D" w:rsidR="00F74C7B" w:rsidRPr="006E4775" w:rsidRDefault="00000000" w:rsidP="00F74C7B">
          <w:pPr>
            <w:pStyle w:val="TDC3"/>
            <w:tabs>
              <w:tab w:val="right" w:leader="dot" w:pos="8828"/>
            </w:tabs>
            <w:spacing w:after="0" w:line="240" w:lineRule="auto"/>
            <w:rPr>
              <w:noProof/>
            </w:rPr>
          </w:pPr>
          <w:hyperlink w:anchor="_Toc108799423" w:history="1">
            <w:r w:rsidR="00F74C7B" w:rsidRPr="006E4775">
              <w:rPr>
                <w:rStyle w:val="Hipervnculo"/>
                <w:noProof/>
              </w:rPr>
              <w:t>Descripción fenómeno migratorio del país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_Toc108799423 \h </w:instrText>
            </w:r>
            <w:r w:rsidR="00F74C7B" w:rsidRPr="006E4775">
              <w:rPr>
                <w:noProof/>
                <w:webHidden/>
              </w:rPr>
            </w:r>
            <w:r w:rsidR="00F74C7B" w:rsidRPr="006E4775">
              <w:rPr>
                <w:noProof/>
                <w:webHidden/>
              </w:rPr>
              <w:fldChar w:fldCharType="separate"/>
            </w:r>
            <w:r w:rsidR="00F74C7B" w:rsidRPr="006E4775">
              <w:rPr>
                <w:noProof/>
                <w:webHidden/>
              </w:rPr>
              <w:t>4</w:t>
            </w:r>
            <w:r w:rsidR="00F74C7B" w:rsidRPr="006E4775">
              <w:rPr>
                <w:noProof/>
                <w:webHidden/>
              </w:rPr>
              <w:fldChar w:fldCharType="end"/>
            </w:r>
          </w:hyperlink>
        </w:p>
        <w:p w14:paraId="44D0DE8D" w14:textId="6378A242" w:rsidR="00F74C7B" w:rsidRPr="006E4775" w:rsidRDefault="00000000" w:rsidP="00F74C7B">
          <w:pPr>
            <w:pStyle w:val="TDC3"/>
            <w:tabs>
              <w:tab w:val="right" w:leader="dot" w:pos="8828"/>
            </w:tabs>
            <w:spacing w:after="0" w:line="240" w:lineRule="auto"/>
            <w:rPr>
              <w:noProof/>
            </w:rPr>
          </w:pPr>
          <w:hyperlink w:anchor="_Toc108799424" w:history="1">
            <w:r w:rsidR="00F74C7B" w:rsidRPr="006E4775">
              <w:rPr>
                <w:rStyle w:val="Hipervnculo"/>
                <w:noProof/>
              </w:rPr>
              <w:t>Descripción sobre instituciones importantes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_Toc108799424 \h </w:instrText>
            </w:r>
            <w:r w:rsidR="00F74C7B" w:rsidRPr="006E4775">
              <w:rPr>
                <w:noProof/>
                <w:webHidden/>
              </w:rPr>
            </w:r>
            <w:r w:rsidR="00F74C7B" w:rsidRPr="006E4775">
              <w:rPr>
                <w:noProof/>
                <w:webHidden/>
              </w:rPr>
              <w:fldChar w:fldCharType="separate"/>
            </w:r>
            <w:r w:rsidR="00F74C7B" w:rsidRPr="006E4775">
              <w:rPr>
                <w:noProof/>
                <w:webHidden/>
              </w:rPr>
              <w:t>5</w:t>
            </w:r>
            <w:r w:rsidR="00F74C7B" w:rsidRPr="006E4775">
              <w:rPr>
                <w:noProof/>
                <w:webHidden/>
              </w:rPr>
              <w:fldChar w:fldCharType="end"/>
            </w:r>
          </w:hyperlink>
        </w:p>
        <w:p w14:paraId="1BF68FE8" w14:textId="5A2FBA33" w:rsidR="00F74C7B" w:rsidRPr="006E4775" w:rsidRDefault="00000000" w:rsidP="00F74C7B">
          <w:pPr>
            <w:pStyle w:val="TDC3"/>
            <w:tabs>
              <w:tab w:val="right" w:leader="dot" w:pos="8828"/>
            </w:tabs>
            <w:spacing w:after="0" w:line="240" w:lineRule="auto"/>
            <w:rPr>
              <w:noProof/>
            </w:rPr>
          </w:pPr>
          <w:hyperlink w:anchor="_Toc108799425" w:history="1">
            <w:r w:rsidR="00F74C7B" w:rsidRPr="006E4775">
              <w:rPr>
                <w:rStyle w:val="Hipervnculo"/>
                <w:noProof/>
              </w:rPr>
              <w:t>Embajada y Consulados en Chile</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_Toc108799425 \h </w:instrText>
            </w:r>
            <w:r w:rsidR="00F74C7B" w:rsidRPr="006E4775">
              <w:rPr>
                <w:noProof/>
                <w:webHidden/>
              </w:rPr>
            </w:r>
            <w:r w:rsidR="00F74C7B" w:rsidRPr="006E4775">
              <w:rPr>
                <w:noProof/>
                <w:webHidden/>
              </w:rPr>
              <w:fldChar w:fldCharType="separate"/>
            </w:r>
            <w:r w:rsidR="00F74C7B" w:rsidRPr="006E4775">
              <w:rPr>
                <w:noProof/>
                <w:webHidden/>
              </w:rPr>
              <w:t>5</w:t>
            </w:r>
            <w:r w:rsidR="00F74C7B" w:rsidRPr="006E4775">
              <w:rPr>
                <w:noProof/>
                <w:webHidden/>
              </w:rPr>
              <w:fldChar w:fldCharType="end"/>
            </w:r>
          </w:hyperlink>
        </w:p>
        <w:p w14:paraId="5CFB7219" w14:textId="4FFA2193" w:rsidR="00F74C7B" w:rsidRPr="006E4775" w:rsidRDefault="00000000" w:rsidP="00F74C7B">
          <w:pPr>
            <w:pStyle w:val="TDC2"/>
            <w:tabs>
              <w:tab w:val="right" w:leader="dot" w:pos="8828"/>
            </w:tabs>
            <w:spacing w:after="0" w:line="240" w:lineRule="auto"/>
            <w:rPr>
              <w:noProof/>
            </w:rPr>
          </w:pPr>
          <w:hyperlink w:anchor="_Toc108799426" w:history="1">
            <w:r w:rsidR="00F74C7B" w:rsidRPr="006E4775">
              <w:rPr>
                <w:rStyle w:val="Hipervnculo"/>
                <w:noProof/>
              </w:rPr>
              <w:t>Estado Plurinacional de Bolivia (Puliwya Achka Aylluska Mamallaqta, Wuliwya Walja Suyunakana Marka, Tetã Hetãvoregua Mborívia)</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_Toc108799426 \h </w:instrText>
            </w:r>
            <w:r w:rsidR="00F74C7B" w:rsidRPr="006E4775">
              <w:rPr>
                <w:noProof/>
                <w:webHidden/>
              </w:rPr>
            </w:r>
            <w:r w:rsidR="00F74C7B" w:rsidRPr="006E4775">
              <w:rPr>
                <w:noProof/>
                <w:webHidden/>
              </w:rPr>
              <w:fldChar w:fldCharType="separate"/>
            </w:r>
            <w:r w:rsidR="00F74C7B" w:rsidRPr="006E4775">
              <w:rPr>
                <w:noProof/>
                <w:webHidden/>
              </w:rPr>
              <w:t>7</w:t>
            </w:r>
            <w:r w:rsidR="00F74C7B" w:rsidRPr="006E4775">
              <w:rPr>
                <w:noProof/>
                <w:webHidden/>
              </w:rPr>
              <w:fldChar w:fldCharType="end"/>
            </w:r>
          </w:hyperlink>
        </w:p>
        <w:p w14:paraId="3555197A" w14:textId="3BDFA00E" w:rsidR="00F74C7B" w:rsidRPr="006E4775" w:rsidRDefault="00000000" w:rsidP="00F74C7B">
          <w:pPr>
            <w:pStyle w:val="TDC3"/>
            <w:tabs>
              <w:tab w:val="right" w:leader="dot" w:pos="8828"/>
            </w:tabs>
            <w:spacing w:after="0" w:line="240" w:lineRule="auto"/>
            <w:rPr>
              <w:noProof/>
            </w:rPr>
          </w:pPr>
          <w:hyperlink w:anchor="_Toc108799427" w:history="1">
            <w:r w:rsidR="00F74C7B" w:rsidRPr="006E4775">
              <w:rPr>
                <w:rStyle w:val="Hipervnculo"/>
                <w:noProof/>
              </w:rPr>
              <w:t>Datos sociodemográficos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_Toc108799427 \h </w:instrText>
            </w:r>
            <w:r w:rsidR="00F74C7B" w:rsidRPr="006E4775">
              <w:rPr>
                <w:noProof/>
                <w:webHidden/>
              </w:rPr>
            </w:r>
            <w:r w:rsidR="00F74C7B" w:rsidRPr="006E4775">
              <w:rPr>
                <w:noProof/>
                <w:webHidden/>
              </w:rPr>
              <w:fldChar w:fldCharType="separate"/>
            </w:r>
            <w:r w:rsidR="00F74C7B" w:rsidRPr="006E4775">
              <w:rPr>
                <w:noProof/>
                <w:webHidden/>
              </w:rPr>
              <w:t>7</w:t>
            </w:r>
            <w:r w:rsidR="00F74C7B" w:rsidRPr="006E4775">
              <w:rPr>
                <w:noProof/>
                <w:webHidden/>
              </w:rPr>
              <w:fldChar w:fldCharType="end"/>
            </w:r>
          </w:hyperlink>
        </w:p>
        <w:p w14:paraId="1CBF227B" w14:textId="211CB858" w:rsidR="00F74C7B" w:rsidRPr="006E4775" w:rsidRDefault="00000000" w:rsidP="00F74C7B">
          <w:pPr>
            <w:pStyle w:val="TDC3"/>
            <w:tabs>
              <w:tab w:val="right" w:leader="dot" w:pos="8828"/>
            </w:tabs>
            <w:spacing w:after="0" w:line="240" w:lineRule="auto"/>
            <w:rPr>
              <w:noProof/>
            </w:rPr>
          </w:pPr>
          <w:hyperlink w:anchor="_Toc108799428" w:history="1">
            <w:r w:rsidR="00F74C7B" w:rsidRPr="006E4775">
              <w:rPr>
                <w:rStyle w:val="Hipervnculo"/>
                <w:noProof/>
              </w:rPr>
              <w:t>Descripción fenómeno migratorio del país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_Toc108799428 \h </w:instrText>
            </w:r>
            <w:r w:rsidR="00F74C7B" w:rsidRPr="006E4775">
              <w:rPr>
                <w:noProof/>
                <w:webHidden/>
              </w:rPr>
            </w:r>
            <w:r w:rsidR="00F74C7B" w:rsidRPr="006E4775">
              <w:rPr>
                <w:noProof/>
                <w:webHidden/>
              </w:rPr>
              <w:fldChar w:fldCharType="separate"/>
            </w:r>
            <w:r w:rsidR="00F74C7B" w:rsidRPr="006E4775">
              <w:rPr>
                <w:noProof/>
                <w:webHidden/>
              </w:rPr>
              <w:t>7</w:t>
            </w:r>
            <w:r w:rsidR="00F74C7B" w:rsidRPr="006E4775">
              <w:rPr>
                <w:noProof/>
                <w:webHidden/>
              </w:rPr>
              <w:fldChar w:fldCharType="end"/>
            </w:r>
          </w:hyperlink>
        </w:p>
        <w:p w14:paraId="6B9A9542" w14:textId="48E63BB4" w:rsidR="00F74C7B" w:rsidRPr="006E4775" w:rsidRDefault="00000000" w:rsidP="00F74C7B">
          <w:pPr>
            <w:pStyle w:val="TDC3"/>
            <w:tabs>
              <w:tab w:val="right" w:leader="dot" w:pos="8828"/>
            </w:tabs>
            <w:spacing w:after="0" w:line="240" w:lineRule="auto"/>
            <w:rPr>
              <w:noProof/>
            </w:rPr>
          </w:pPr>
          <w:hyperlink w:anchor="_Toc108799429" w:history="1">
            <w:r w:rsidR="00F74C7B" w:rsidRPr="006E4775">
              <w:rPr>
                <w:rStyle w:val="Hipervnculo"/>
                <w:noProof/>
              </w:rPr>
              <w:t>Descripción sobre instituciones importantes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_Toc108799429 \h </w:instrText>
            </w:r>
            <w:r w:rsidR="00F74C7B" w:rsidRPr="006E4775">
              <w:rPr>
                <w:noProof/>
                <w:webHidden/>
              </w:rPr>
            </w:r>
            <w:r w:rsidR="00F74C7B" w:rsidRPr="006E4775">
              <w:rPr>
                <w:noProof/>
                <w:webHidden/>
              </w:rPr>
              <w:fldChar w:fldCharType="separate"/>
            </w:r>
            <w:r w:rsidR="00F74C7B" w:rsidRPr="006E4775">
              <w:rPr>
                <w:noProof/>
                <w:webHidden/>
              </w:rPr>
              <w:t>8</w:t>
            </w:r>
            <w:r w:rsidR="00F74C7B" w:rsidRPr="006E4775">
              <w:rPr>
                <w:noProof/>
                <w:webHidden/>
              </w:rPr>
              <w:fldChar w:fldCharType="end"/>
            </w:r>
          </w:hyperlink>
        </w:p>
        <w:p w14:paraId="245CF73F" w14:textId="1D9FDE32" w:rsidR="00F74C7B" w:rsidRPr="006E4775" w:rsidRDefault="00000000" w:rsidP="00F74C7B">
          <w:pPr>
            <w:pStyle w:val="TDC3"/>
            <w:tabs>
              <w:tab w:val="right" w:leader="dot" w:pos="8828"/>
            </w:tabs>
            <w:spacing w:after="0" w:line="240" w:lineRule="auto"/>
            <w:rPr>
              <w:noProof/>
            </w:rPr>
          </w:pPr>
          <w:hyperlink w:anchor="_Toc108799430" w:history="1">
            <w:r w:rsidR="00F74C7B" w:rsidRPr="006E4775">
              <w:rPr>
                <w:rStyle w:val="Hipervnculo"/>
                <w:noProof/>
              </w:rPr>
              <w:t>Embajada y Consulados en Chile</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_Toc108799430 \h </w:instrText>
            </w:r>
            <w:r w:rsidR="00F74C7B" w:rsidRPr="006E4775">
              <w:rPr>
                <w:noProof/>
                <w:webHidden/>
              </w:rPr>
            </w:r>
            <w:r w:rsidR="00F74C7B" w:rsidRPr="006E4775">
              <w:rPr>
                <w:noProof/>
                <w:webHidden/>
              </w:rPr>
              <w:fldChar w:fldCharType="separate"/>
            </w:r>
            <w:r w:rsidR="00F74C7B" w:rsidRPr="006E4775">
              <w:rPr>
                <w:noProof/>
                <w:webHidden/>
              </w:rPr>
              <w:t>8</w:t>
            </w:r>
            <w:r w:rsidR="00F74C7B" w:rsidRPr="006E4775">
              <w:rPr>
                <w:noProof/>
                <w:webHidden/>
              </w:rPr>
              <w:fldChar w:fldCharType="end"/>
            </w:r>
          </w:hyperlink>
        </w:p>
        <w:p w14:paraId="1D85DF84" w14:textId="5BA28675" w:rsidR="00F74C7B" w:rsidRPr="006E4775" w:rsidRDefault="00000000" w:rsidP="00F74C7B">
          <w:pPr>
            <w:pStyle w:val="TDC2"/>
            <w:tabs>
              <w:tab w:val="right" w:leader="dot" w:pos="8828"/>
            </w:tabs>
            <w:spacing w:after="0" w:line="240" w:lineRule="auto"/>
            <w:rPr>
              <w:noProof/>
            </w:rPr>
          </w:pPr>
          <w:hyperlink w:anchor="_Toc108799431" w:history="1">
            <w:r w:rsidR="00F74C7B" w:rsidRPr="006E4775">
              <w:rPr>
                <w:rStyle w:val="Hipervnculo"/>
                <w:noProof/>
              </w:rPr>
              <w:t>República Bolivariana de Venezuela</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_Toc108799431 \h </w:instrText>
            </w:r>
            <w:r w:rsidR="00F74C7B" w:rsidRPr="006E4775">
              <w:rPr>
                <w:noProof/>
                <w:webHidden/>
              </w:rPr>
            </w:r>
            <w:r w:rsidR="00F74C7B" w:rsidRPr="006E4775">
              <w:rPr>
                <w:noProof/>
                <w:webHidden/>
              </w:rPr>
              <w:fldChar w:fldCharType="separate"/>
            </w:r>
            <w:r w:rsidR="00F74C7B" w:rsidRPr="006E4775">
              <w:rPr>
                <w:noProof/>
                <w:webHidden/>
              </w:rPr>
              <w:t>10</w:t>
            </w:r>
            <w:r w:rsidR="00F74C7B" w:rsidRPr="006E4775">
              <w:rPr>
                <w:noProof/>
                <w:webHidden/>
              </w:rPr>
              <w:fldChar w:fldCharType="end"/>
            </w:r>
          </w:hyperlink>
        </w:p>
        <w:p w14:paraId="33DC8433" w14:textId="620D8812" w:rsidR="00F74C7B" w:rsidRPr="006E4775" w:rsidRDefault="00000000" w:rsidP="00F74C7B">
          <w:pPr>
            <w:pStyle w:val="TDC3"/>
            <w:tabs>
              <w:tab w:val="right" w:leader="dot" w:pos="8828"/>
            </w:tabs>
            <w:spacing w:after="0" w:line="240" w:lineRule="auto"/>
            <w:rPr>
              <w:noProof/>
            </w:rPr>
          </w:pPr>
          <w:hyperlink w:anchor="_Toc108799432" w:history="1">
            <w:r w:rsidR="00F74C7B" w:rsidRPr="006E4775">
              <w:rPr>
                <w:rStyle w:val="Hipervnculo"/>
                <w:noProof/>
              </w:rPr>
              <w:t>Descripción fenómeno migratorio del país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_Toc108799432 \h </w:instrText>
            </w:r>
            <w:r w:rsidR="00F74C7B" w:rsidRPr="006E4775">
              <w:rPr>
                <w:noProof/>
                <w:webHidden/>
              </w:rPr>
            </w:r>
            <w:r w:rsidR="00F74C7B" w:rsidRPr="006E4775">
              <w:rPr>
                <w:noProof/>
                <w:webHidden/>
              </w:rPr>
              <w:fldChar w:fldCharType="separate"/>
            </w:r>
            <w:r w:rsidR="00F74C7B" w:rsidRPr="006E4775">
              <w:rPr>
                <w:noProof/>
                <w:webHidden/>
              </w:rPr>
              <w:t>10</w:t>
            </w:r>
            <w:r w:rsidR="00F74C7B" w:rsidRPr="006E4775">
              <w:rPr>
                <w:noProof/>
                <w:webHidden/>
              </w:rPr>
              <w:fldChar w:fldCharType="end"/>
            </w:r>
          </w:hyperlink>
        </w:p>
        <w:p w14:paraId="2DC869AD" w14:textId="30CA7C53" w:rsidR="00F74C7B" w:rsidRPr="006E4775" w:rsidRDefault="00000000" w:rsidP="00F74C7B">
          <w:pPr>
            <w:pStyle w:val="TDC3"/>
            <w:tabs>
              <w:tab w:val="right" w:leader="dot" w:pos="8828"/>
            </w:tabs>
            <w:spacing w:after="0" w:line="240" w:lineRule="auto"/>
            <w:rPr>
              <w:noProof/>
            </w:rPr>
          </w:pPr>
          <w:hyperlink w:anchor="_Toc108799433" w:history="1">
            <w:r w:rsidR="00F74C7B" w:rsidRPr="006E4775">
              <w:rPr>
                <w:rStyle w:val="Hipervnculo"/>
                <w:noProof/>
              </w:rPr>
              <w:t>Descripción sobre instituciones importantes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_Toc108799433 \h </w:instrText>
            </w:r>
            <w:r w:rsidR="00F74C7B" w:rsidRPr="006E4775">
              <w:rPr>
                <w:noProof/>
                <w:webHidden/>
              </w:rPr>
            </w:r>
            <w:r w:rsidR="00F74C7B" w:rsidRPr="006E4775">
              <w:rPr>
                <w:noProof/>
                <w:webHidden/>
              </w:rPr>
              <w:fldChar w:fldCharType="separate"/>
            </w:r>
            <w:r w:rsidR="00F74C7B" w:rsidRPr="006E4775">
              <w:rPr>
                <w:noProof/>
                <w:webHidden/>
              </w:rPr>
              <w:t>11</w:t>
            </w:r>
            <w:r w:rsidR="00F74C7B" w:rsidRPr="006E4775">
              <w:rPr>
                <w:noProof/>
                <w:webHidden/>
              </w:rPr>
              <w:fldChar w:fldCharType="end"/>
            </w:r>
          </w:hyperlink>
        </w:p>
        <w:p w14:paraId="7C8AE0D2" w14:textId="03D40D8E" w:rsidR="00F74C7B" w:rsidRPr="006E4775" w:rsidRDefault="00000000" w:rsidP="00F74C7B">
          <w:pPr>
            <w:pStyle w:val="TDC3"/>
            <w:tabs>
              <w:tab w:val="right" w:leader="dot" w:pos="8828"/>
            </w:tabs>
            <w:spacing w:after="0" w:line="240" w:lineRule="auto"/>
            <w:rPr>
              <w:noProof/>
            </w:rPr>
          </w:pPr>
          <w:hyperlink w:anchor="_Toc108799434" w:history="1">
            <w:r w:rsidR="00F74C7B" w:rsidRPr="006E4775">
              <w:rPr>
                <w:rStyle w:val="Hipervnculo"/>
                <w:noProof/>
              </w:rPr>
              <w:t>Embajada y Consulados en Chile</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_Toc108799434 \h </w:instrText>
            </w:r>
            <w:r w:rsidR="00F74C7B" w:rsidRPr="006E4775">
              <w:rPr>
                <w:noProof/>
                <w:webHidden/>
              </w:rPr>
            </w:r>
            <w:r w:rsidR="00F74C7B" w:rsidRPr="006E4775">
              <w:rPr>
                <w:noProof/>
                <w:webHidden/>
              </w:rPr>
              <w:fldChar w:fldCharType="separate"/>
            </w:r>
            <w:r w:rsidR="00F74C7B" w:rsidRPr="006E4775">
              <w:rPr>
                <w:noProof/>
                <w:webHidden/>
              </w:rPr>
              <w:t>12</w:t>
            </w:r>
            <w:r w:rsidR="00F74C7B" w:rsidRPr="006E4775">
              <w:rPr>
                <w:noProof/>
                <w:webHidden/>
              </w:rPr>
              <w:fldChar w:fldCharType="end"/>
            </w:r>
          </w:hyperlink>
        </w:p>
        <w:p w14:paraId="76DFC35C" w14:textId="4295A8EF" w:rsidR="00F74C7B" w:rsidRPr="006E4775" w:rsidRDefault="00000000" w:rsidP="00F74C7B">
          <w:pPr>
            <w:pStyle w:val="TDC2"/>
            <w:tabs>
              <w:tab w:val="right" w:leader="dot" w:pos="8828"/>
            </w:tabs>
            <w:spacing w:after="0" w:line="240" w:lineRule="auto"/>
            <w:rPr>
              <w:noProof/>
            </w:rPr>
          </w:pPr>
          <w:hyperlink w:anchor="_Toc108799435" w:history="1">
            <w:r w:rsidR="00F74C7B" w:rsidRPr="006E4775">
              <w:rPr>
                <w:rStyle w:val="Hipervnculo"/>
                <w:noProof/>
              </w:rPr>
              <w:t>República Dominicana</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_Toc108799435 \h </w:instrText>
            </w:r>
            <w:r w:rsidR="00F74C7B" w:rsidRPr="006E4775">
              <w:rPr>
                <w:noProof/>
                <w:webHidden/>
              </w:rPr>
            </w:r>
            <w:r w:rsidR="00F74C7B" w:rsidRPr="006E4775">
              <w:rPr>
                <w:noProof/>
                <w:webHidden/>
              </w:rPr>
              <w:fldChar w:fldCharType="separate"/>
            </w:r>
            <w:r w:rsidR="00F74C7B" w:rsidRPr="006E4775">
              <w:rPr>
                <w:noProof/>
                <w:webHidden/>
              </w:rPr>
              <w:t>13</w:t>
            </w:r>
            <w:r w:rsidR="00F74C7B" w:rsidRPr="006E4775">
              <w:rPr>
                <w:noProof/>
                <w:webHidden/>
              </w:rPr>
              <w:fldChar w:fldCharType="end"/>
            </w:r>
          </w:hyperlink>
        </w:p>
        <w:p w14:paraId="01568FFF" w14:textId="528A6A91" w:rsidR="00F74C7B" w:rsidRPr="006E4775" w:rsidRDefault="00000000" w:rsidP="00F74C7B">
          <w:pPr>
            <w:pStyle w:val="TDC3"/>
            <w:tabs>
              <w:tab w:val="right" w:leader="dot" w:pos="8828"/>
            </w:tabs>
            <w:spacing w:after="0" w:line="240" w:lineRule="auto"/>
            <w:rPr>
              <w:noProof/>
            </w:rPr>
          </w:pPr>
          <w:hyperlink w:anchor="_Toc108799436" w:history="1">
            <w:r w:rsidR="00F74C7B" w:rsidRPr="006E4775">
              <w:rPr>
                <w:rStyle w:val="Hipervnculo"/>
                <w:noProof/>
              </w:rPr>
              <w:t>Descripción fenómeno migratorio del país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_Toc108799436 \h </w:instrText>
            </w:r>
            <w:r w:rsidR="00F74C7B" w:rsidRPr="006E4775">
              <w:rPr>
                <w:noProof/>
                <w:webHidden/>
              </w:rPr>
            </w:r>
            <w:r w:rsidR="00F74C7B" w:rsidRPr="006E4775">
              <w:rPr>
                <w:noProof/>
                <w:webHidden/>
              </w:rPr>
              <w:fldChar w:fldCharType="separate"/>
            </w:r>
            <w:r w:rsidR="00F74C7B" w:rsidRPr="006E4775">
              <w:rPr>
                <w:noProof/>
                <w:webHidden/>
              </w:rPr>
              <w:t>13</w:t>
            </w:r>
            <w:r w:rsidR="00F74C7B" w:rsidRPr="006E4775">
              <w:rPr>
                <w:noProof/>
                <w:webHidden/>
              </w:rPr>
              <w:fldChar w:fldCharType="end"/>
            </w:r>
          </w:hyperlink>
        </w:p>
        <w:p w14:paraId="70DEC894" w14:textId="2D63F0F5" w:rsidR="00F74C7B" w:rsidRPr="006E4775" w:rsidRDefault="00000000" w:rsidP="00F74C7B">
          <w:pPr>
            <w:pStyle w:val="TDC3"/>
            <w:tabs>
              <w:tab w:val="right" w:leader="dot" w:pos="8828"/>
            </w:tabs>
            <w:spacing w:after="0" w:line="240" w:lineRule="auto"/>
            <w:rPr>
              <w:noProof/>
            </w:rPr>
          </w:pPr>
          <w:hyperlink w:anchor="_Toc108799437" w:history="1">
            <w:r w:rsidR="00F74C7B" w:rsidRPr="006E4775">
              <w:rPr>
                <w:rStyle w:val="Hipervnculo"/>
                <w:noProof/>
              </w:rPr>
              <w:t>Descripción sobre instituciones importantes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_Toc108799437 \h </w:instrText>
            </w:r>
            <w:r w:rsidR="00F74C7B" w:rsidRPr="006E4775">
              <w:rPr>
                <w:noProof/>
                <w:webHidden/>
              </w:rPr>
            </w:r>
            <w:r w:rsidR="00F74C7B" w:rsidRPr="006E4775">
              <w:rPr>
                <w:noProof/>
                <w:webHidden/>
              </w:rPr>
              <w:fldChar w:fldCharType="separate"/>
            </w:r>
            <w:r w:rsidR="00F74C7B" w:rsidRPr="006E4775">
              <w:rPr>
                <w:noProof/>
                <w:webHidden/>
              </w:rPr>
              <w:t>14</w:t>
            </w:r>
            <w:r w:rsidR="00F74C7B" w:rsidRPr="006E4775">
              <w:rPr>
                <w:noProof/>
                <w:webHidden/>
              </w:rPr>
              <w:fldChar w:fldCharType="end"/>
            </w:r>
          </w:hyperlink>
        </w:p>
        <w:p w14:paraId="2DC1D6A5" w14:textId="516724F6" w:rsidR="00F74C7B" w:rsidRPr="006E4775" w:rsidRDefault="00000000" w:rsidP="00F74C7B">
          <w:pPr>
            <w:pStyle w:val="TDC3"/>
            <w:tabs>
              <w:tab w:val="right" w:leader="dot" w:pos="8828"/>
            </w:tabs>
            <w:spacing w:after="0" w:line="240" w:lineRule="auto"/>
            <w:rPr>
              <w:noProof/>
            </w:rPr>
          </w:pPr>
          <w:hyperlink w:anchor="_Toc108799438" w:history="1">
            <w:r w:rsidR="00F74C7B" w:rsidRPr="006E4775">
              <w:rPr>
                <w:rStyle w:val="Hipervnculo"/>
                <w:noProof/>
              </w:rPr>
              <w:t>Embajada y Consulados en Chile</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_Toc108799438 \h </w:instrText>
            </w:r>
            <w:r w:rsidR="00F74C7B" w:rsidRPr="006E4775">
              <w:rPr>
                <w:noProof/>
                <w:webHidden/>
              </w:rPr>
            </w:r>
            <w:r w:rsidR="00F74C7B" w:rsidRPr="006E4775">
              <w:rPr>
                <w:noProof/>
                <w:webHidden/>
              </w:rPr>
              <w:fldChar w:fldCharType="separate"/>
            </w:r>
            <w:r w:rsidR="00F74C7B" w:rsidRPr="006E4775">
              <w:rPr>
                <w:noProof/>
                <w:webHidden/>
              </w:rPr>
              <w:t>14</w:t>
            </w:r>
            <w:r w:rsidR="00F74C7B" w:rsidRPr="006E4775">
              <w:rPr>
                <w:noProof/>
                <w:webHidden/>
              </w:rPr>
              <w:fldChar w:fldCharType="end"/>
            </w:r>
          </w:hyperlink>
        </w:p>
        <w:p w14:paraId="00544725" w14:textId="4A812F0B" w:rsidR="00F74C7B" w:rsidRPr="006E4775" w:rsidRDefault="00000000" w:rsidP="00F74C7B">
          <w:pPr>
            <w:pStyle w:val="TDC2"/>
            <w:tabs>
              <w:tab w:val="right" w:leader="dot" w:pos="8828"/>
            </w:tabs>
            <w:spacing w:after="0" w:line="240" w:lineRule="auto"/>
            <w:rPr>
              <w:noProof/>
            </w:rPr>
          </w:pPr>
          <w:hyperlink w:anchor="_Toc108799439" w:history="1">
            <w:r w:rsidR="00F74C7B" w:rsidRPr="006E4775">
              <w:rPr>
                <w:rStyle w:val="Hipervnculo"/>
                <w:noProof/>
              </w:rPr>
              <w:t>República de Haití (Repiblik d'Ayiti, République d'Haïti)</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_Toc108799439 \h </w:instrText>
            </w:r>
            <w:r w:rsidR="00F74C7B" w:rsidRPr="006E4775">
              <w:rPr>
                <w:noProof/>
                <w:webHidden/>
              </w:rPr>
            </w:r>
            <w:r w:rsidR="00F74C7B" w:rsidRPr="006E4775">
              <w:rPr>
                <w:noProof/>
                <w:webHidden/>
              </w:rPr>
              <w:fldChar w:fldCharType="separate"/>
            </w:r>
            <w:r w:rsidR="00F74C7B" w:rsidRPr="006E4775">
              <w:rPr>
                <w:noProof/>
                <w:webHidden/>
              </w:rPr>
              <w:t>15</w:t>
            </w:r>
            <w:r w:rsidR="00F74C7B" w:rsidRPr="006E4775">
              <w:rPr>
                <w:noProof/>
                <w:webHidden/>
              </w:rPr>
              <w:fldChar w:fldCharType="end"/>
            </w:r>
          </w:hyperlink>
        </w:p>
        <w:p w14:paraId="3C3A09B1" w14:textId="082C593E" w:rsidR="00F74C7B" w:rsidRPr="006E4775" w:rsidRDefault="00000000" w:rsidP="00F74C7B">
          <w:pPr>
            <w:pStyle w:val="TDC3"/>
            <w:tabs>
              <w:tab w:val="right" w:leader="dot" w:pos="8828"/>
            </w:tabs>
            <w:spacing w:after="0" w:line="240" w:lineRule="auto"/>
            <w:rPr>
              <w:noProof/>
            </w:rPr>
          </w:pPr>
          <w:hyperlink w:anchor="_Toc108799440" w:history="1">
            <w:r w:rsidR="00F74C7B" w:rsidRPr="006E4775">
              <w:rPr>
                <w:rStyle w:val="Hipervnculo"/>
                <w:noProof/>
              </w:rPr>
              <w:t>Datos sociodemográficos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_Toc108799440 \h </w:instrText>
            </w:r>
            <w:r w:rsidR="00F74C7B" w:rsidRPr="006E4775">
              <w:rPr>
                <w:noProof/>
                <w:webHidden/>
              </w:rPr>
            </w:r>
            <w:r w:rsidR="00F74C7B" w:rsidRPr="006E4775">
              <w:rPr>
                <w:noProof/>
                <w:webHidden/>
              </w:rPr>
              <w:fldChar w:fldCharType="separate"/>
            </w:r>
            <w:r w:rsidR="00F74C7B" w:rsidRPr="006E4775">
              <w:rPr>
                <w:noProof/>
                <w:webHidden/>
              </w:rPr>
              <w:t>15</w:t>
            </w:r>
            <w:r w:rsidR="00F74C7B" w:rsidRPr="006E4775">
              <w:rPr>
                <w:noProof/>
                <w:webHidden/>
              </w:rPr>
              <w:fldChar w:fldCharType="end"/>
            </w:r>
          </w:hyperlink>
        </w:p>
        <w:p w14:paraId="1992AE6F" w14:textId="46982969" w:rsidR="00F74C7B" w:rsidRPr="006E4775" w:rsidRDefault="00000000" w:rsidP="00F74C7B">
          <w:pPr>
            <w:pStyle w:val="TDC3"/>
            <w:tabs>
              <w:tab w:val="right" w:leader="dot" w:pos="8828"/>
            </w:tabs>
            <w:spacing w:after="0" w:line="240" w:lineRule="auto"/>
            <w:rPr>
              <w:noProof/>
            </w:rPr>
          </w:pPr>
          <w:hyperlink w:anchor="_Toc108799441" w:history="1">
            <w:r w:rsidR="00F74C7B" w:rsidRPr="006E4775">
              <w:rPr>
                <w:rStyle w:val="Hipervnculo"/>
                <w:noProof/>
              </w:rPr>
              <w:t>Descripción fenómeno migratorio del país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_Toc108799441 \h </w:instrText>
            </w:r>
            <w:r w:rsidR="00F74C7B" w:rsidRPr="006E4775">
              <w:rPr>
                <w:noProof/>
                <w:webHidden/>
              </w:rPr>
            </w:r>
            <w:r w:rsidR="00F74C7B" w:rsidRPr="006E4775">
              <w:rPr>
                <w:noProof/>
                <w:webHidden/>
              </w:rPr>
              <w:fldChar w:fldCharType="separate"/>
            </w:r>
            <w:r w:rsidR="00F74C7B" w:rsidRPr="006E4775">
              <w:rPr>
                <w:noProof/>
                <w:webHidden/>
              </w:rPr>
              <w:t>15</w:t>
            </w:r>
            <w:r w:rsidR="00F74C7B" w:rsidRPr="006E4775">
              <w:rPr>
                <w:noProof/>
                <w:webHidden/>
              </w:rPr>
              <w:fldChar w:fldCharType="end"/>
            </w:r>
          </w:hyperlink>
        </w:p>
        <w:p w14:paraId="2B3AA61A" w14:textId="0F3BD288" w:rsidR="00F74C7B" w:rsidRPr="006E4775" w:rsidRDefault="00000000" w:rsidP="00F74C7B">
          <w:pPr>
            <w:pStyle w:val="TDC3"/>
            <w:tabs>
              <w:tab w:val="right" w:leader="dot" w:pos="8828"/>
            </w:tabs>
            <w:spacing w:after="0" w:line="240" w:lineRule="auto"/>
            <w:rPr>
              <w:noProof/>
            </w:rPr>
          </w:pPr>
          <w:hyperlink w:anchor="_Toc108799442" w:history="1">
            <w:r w:rsidR="00F74C7B" w:rsidRPr="006E4775">
              <w:rPr>
                <w:rStyle w:val="Hipervnculo"/>
                <w:noProof/>
              </w:rPr>
              <w:t>Descripción sobre instituciones importantes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_Toc108799442 \h </w:instrText>
            </w:r>
            <w:r w:rsidR="00F74C7B" w:rsidRPr="006E4775">
              <w:rPr>
                <w:noProof/>
                <w:webHidden/>
              </w:rPr>
            </w:r>
            <w:r w:rsidR="00F74C7B" w:rsidRPr="006E4775">
              <w:rPr>
                <w:noProof/>
                <w:webHidden/>
              </w:rPr>
              <w:fldChar w:fldCharType="separate"/>
            </w:r>
            <w:r w:rsidR="00F74C7B" w:rsidRPr="006E4775">
              <w:rPr>
                <w:noProof/>
                <w:webHidden/>
              </w:rPr>
              <w:t>16</w:t>
            </w:r>
            <w:r w:rsidR="00F74C7B" w:rsidRPr="006E4775">
              <w:rPr>
                <w:noProof/>
                <w:webHidden/>
              </w:rPr>
              <w:fldChar w:fldCharType="end"/>
            </w:r>
          </w:hyperlink>
        </w:p>
        <w:p w14:paraId="0402FBC1" w14:textId="2C07A2F7" w:rsidR="00F74C7B" w:rsidRPr="006E4775" w:rsidRDefault="00000000" w:rsidP="00F74C7B">
          <w:pPr>
            <w:pStyle w:val="TDC3"/>
            <w:tabs>
              <w:tab w:val="right" w:leader="dot" w:pos="8828"/>
            </w:tabs>
            <w:spacing w:after="0" w:line="240" w:lineRule="auto"/>
            <w:rPr>
              <w:noProof/>
            </w:rPr>
          </w:pPr>
          <w:hyperlink w:anchor="_Toc108799443" w:history="1">
            <w:r w:rsidR="00F74C7B" w:rsidRPr="006E4775">
              <w:rPr>
                <w:rStyle w:val="Hipervnculo"/>
                <w:noProof/>
              </w:rPr>
              <w:t>Embajada y Consulados en Chile</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_Toc108799443 \h </w:instrText>
            </w:r>
            <w:r w:rsidR="00F74C7B" w:rsidRPr="006E4775">
              <w:rPr>
                <w:noProof/>
                <w:webHidden/>
              </w:rPr>
            </w:r>
            <w:r w:rsidR="00F74C7B" w:rsidRPr="006E4775">
              <w:rPr>
                <w:noProof/>
                <w:webHidden/>
              </w:rPr>
              <w:fldChar w:fldCharType="separate"/>
            </w:r>
            <w:r w:rsidR="00F74C7B" w:rsidRPr="006E4775">
              <w:rPr>
                <w:noProof/>
                <w:webHidden/>
              </w:rPr>
              <w:t>16</w:t>
            </w:r>
            <w:r w:rsidR="00F74C7B" w:rsidRPr="006E4775">
              <w:rPr>
                <w:noProof/>
                <w:webHidden/>
              </w:rPr>
              <w:fldChar w:fldCharType="end"/>
            </w:r>
          </w:hyperlink>
        </w:p>
        <w:p w14:paraId="0180D975" w14:textId="7555B154" w:rsidR="00F74C7B" w:rsidRPr="006E4775" w:rsidRDefault="00000000" w:rsidP="00F74C7B">
          <w:pPr>
            <w:pStyle w:val="TDC1"/>
            <w:tabs>
              <w:tab w:val="right" w:leader="dot" w:pos="8828"/>
            </w:tabs>
            <w:spacing w:after="0" w:line="240" w:lineRule="auto"/>
            <w:rPr>
              <w:noProof/>
            </w:rPr>
          </w:pPr>
          <w:hyperlink w:anchor="_Toc108799444" w:history="1">
            <w:r w:rsidR="00F74C7B" w:rsidRPr="006E4775">
              <w:rPr>
                <w:rStyle w:val="Hipervnculo"/>
                <w:noProof/>
              </w:rPr>
              <w:t>Referencias</w:t>
            </w:r>
            <w:r w:rsidR="00F74C7B" w:rsidRPr="006E4775">
              <w:rPr>
                <w:noProof/>
                <w:webHidden/>
              </w:rPr>
              <w:tab/>
            </w:r>
            <w:r w:rsidR="00F74C7B" w:rsidRPr="006E4775">
              <w:rPr>
                <w:noProof/>
                <w:webHidden/>
              </w:rPr>
              <w:fldChar w:fldCharType="begin"/>
            </w:r>
            <w:r w:rsidR="00F74C7B" w:rsidRPr="006E4775">
              <w:rPr>
                <w:noProof/>
                <w:webHidden/>
              </w:rPr>
              <w:instrText xml:space="preserve"> PAGEREF _Toc108799444 \h </w:instrText>
            </w:r>
            <w:r w:rsidR="00F74C7B" w:rsidRPr="006E4775">
              <w:rPr>
                <w:noProof/>
                <w:webHidden/>
              </w:rPr>
            </w:r>
            <w:r w:rsidR="00F74C7B" w:rsidRPr="006E4775">
              <w:rPr>
                <w:noProof/>
                <w:webHidden/>
              </w:rPr>
              <w:fldChar w:fldCharType="separate"/>
            </w:r>
            <w:r w:rsidR="00F74C7B" w:rsidRPr="006E4775">
              <w:rPr>
                <w:noProof/>
                <w:webHidden/>
              </w:rPr>
              <w:t>17</w:t>
            </w:r>
            <w:r w:rsidR="00F74C7B" w:rsidRPr="006E4775">
              <w:rPr>
                <w:noProof/>
                <w:webHidden/>
              </w:rPr>
              <w:fldChar w:fldCharType="end"/>
            </w:r>
          </w:hyperlink>
        </w:p>
        <w:p w14:paraId="71EAE0A7" w14:textId="0593AB20" w:rsidR="00F74C7B" w:rsidRPr="006E4775" w:rsidRDefault="00F74C7B" w:rsidP="00F74C7B">
          <w:pPr>
            <w:spacing w:after="0" w:line="240" w:lineRule="auto"/>
          </w:pPr>
          <w:r w:rsidRPr="006E4775">
            <w:rPr>
              <w:b/>
              <w:bCs/>
              <w:lang w:val="es-ES"/>
            </w:rPr>
            <w:fldChar w:fldCharType="end"/>
          </w:r>
        </w:p>
      </w:sdtContent>
    </w:sdt>
    <w:p w14:paraId="42332B21" w14:textId="77777777" w:rsidR="00F74C7B" w:rsidRPr="006E4775" w:rsidRDefault="00F74C7B">
      <w:pPr>
        <w:rPr>
          <w:b/>
          <w:sz w:val="48"/>
          <w:szCs w:val="48"/>
        </w:rPr>
      </w:pPr>
      <w:r w:rsidRPr="006E4775">
        <w:br w:type="page"/>
      </w:r>
    </w:p>
    <w:p w14:paraId="40D45C81" w14:textId="4C285434" w:rsidR="00CC2B1D" w:rsidRPr="006E4775" w:rsidRDefault="00CC2B1D" w:rsidP="00293B47">
      <w:pPr>
        <w:pStyle w:val="Ttulo1"/>
      </w:pPr>
      <w:bookmarkStart w:id="0" w:name="_Toc108799412"/>
      <w:r w:rsidRPr="006E4775">
        <w:lastRenderedPageBreak/>
        <w:t>Introducción</w:t>
      </w:r>
      <w:bookmarkEnd w:id="0"/>
    </w:p>
    <w:p w14:paraId="67D94A3B" w14:textId="46054E3F" w:rsidR="00C317D4" w:rsidRPr="006E4775" w:rsidRDefault="00C317D4" w:rsidP="00C317D4">
      <w:pPr>
        <w:pStyle w:val="Ttulo2"/>
      </w:pPr>
      <w:bookmarkStart w:id="1" w:name="_Toc108799413"/>
      <w:r w:rsidRPr="006E4775">
        <w:t>Antecedentes</w:t>
      </w:r>
      <w:bookmarkEnd w:id="1"/>
    </w:p>
    <w:p w14:paraId="2C0DFD2A" w14:textId="18C73E17" w:rsidR="00EE4BB7" w:rsidRPr="006E4775" w:rsidRDefault="00EE4BB7" w:rsidP="00293B47">
      <w:pPr>
        <w:adjustRightInd w:val="0"/>
        <w:spacing w:after="0" w:line="276" w:lineRule="auto"/>
        <w:jc w:val="both"/>
        <w:rPr>
          <w:rFonts w:ascii="Garamond" w:hAnsi="Garamond"/>
        </w:rPr>
      </w:pPr>
      <w:r w:rsidRPr="006E4775">
        <w:rPr>
          <w:rFonts w:ascii="Garamond" w:hAnsi="Garamond"/>
          <w:noProof/>
        </w:rPr>
        <w:drawing>
          <wp:anchor distT="0" distB="0" distL="114300" distR="114300" simplePos="0" relativeHeight="251670528" behindDoc="1" locked="0" layoutInCell="1" allowOverlap="1" wp14:anchorId="2FB5F0E0" wp14:editId="20D17AE5">
            <wp:simplePos x="0" y="0"/>
            <wp:positionH relativeFrom="column">
              <wp:posOffset>3253105</wp:posOffset>
            </wp:positionH>
            <wp:positionV relativeFrom="paragraph">
              <wp:posOffset>1076960</wp:posOffset>
            </wp:positionV>
            <wp:extent cx="2676525" cy="3819525"/>
            <wp:effectExtent l="19050" t="19050" r="28575" b="28575"/>
            <wp:wrapTight wrapText="bothSides">
              <wp:wrapPolygon edited="0">
                <wp:start x="-154" y="-108"/>
                <wp:lineTo x="-154" y="21654"/>
                <wp:lineTo x="21677" y="21654"/>
                <wp:lineTo x="21677" y="-108"/>
                <wp:lineTo x="-154" y="-108"/>
              </wp:wrapPolygon>
            </wp:wrapTight>
            <wp:docPr id="11" name="Imagen 11" descr="D:\Dropbox (CJS UC)\Carpeta del equipo de Estudios del delito\1. PROYECTOS EN DESARROLLO\RPA Migrantes\Ejecución\Informes\Informe final\Resumen Ejecutivo\ma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 (CJS UC)\Carpeta del equipo de Estudios del delito\1. PROYECTOS EN DESARROLLO\RPA Migrantes\Ejecución\Informes\Informe final\Resumen Ejecutivo\mapa.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74" t="4231" r="8421" b="4002"/>
                    <a:stretch/>
                  </pic:blipFill>
                  <pic:spPr bwMode="auto">
                    <a:xfrm>
                      <a:off x="0" y="0"/>
                      <a:ext cx="2676525" cy="3819525"/>
                    </a:xfrm>
                    <a:prstGeom prst="rect">
                      <a:avLst/>
                    </a:prstGeom>
                    <a:noFill/>
                    <a:ln>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775">
        <w:rPr>
          <w:rFonts w:ascii="Garamond" w:hAnsi="Garamond"/>
        </w:rPr>
        <w:t>Al 31 de diciembre 2021</w:t>
      </w:r>
      <w:r w:rsidRPr="006E4775">
        <w:rPr>
          <w:rStyle w:val="Refdenotaalpie"/>
          <w:rFonts w:ascii="Garamond" w:hAnsi="Garamond"/>
        </w:rPr>
        <w:footnoteReference w:id="1"/>
      </w:r>
      <w:r w:rsidRPr="006E4775">
        <w:rPr>
          <w:rFonts w:ascii="Garamond" w:hAnsi="Garamond"/>
        </w:rPr>
        <w:t xml:space="preserve">, solo </w:t>
      </w:r>
      <w:r w:rsidRPr="006E4775">
        <w:rPr>
          <w:rFonts w:ascii="Garamond" w:hAnsi="Garamond"/>
          <w:b/>
        </w:rPr>
        <w:t>un 3%</w:t>
      </w:r>
      <w:r w:rsidRPr="006E4775">
        <w:rPr>
          <w:rFonts w:ascii="Garamond" w:hAnsi="Garamond"/>
        </w:rPr>
        <w:t xml:space="preserve"> de las y los usuarios de Justicia Juvenil de SENAME son migrantes. Esto suma </w:t>
      </w:r>
      <w:r w:rsidRPr="006E4775">
        <w:rPr>
          <w:rFonts w:ascii="Garamond" w:hAnsi="Garamond"/>
          <w:b/>
        </w:rPr>
        <w:t>17</w:t>
      </w:r>
      <w:r w:rsidR="007B2F80">
        <w:rPr>
          <w:rFonts w:ascii="Garamond" w:hAnsi="Garamond"/>
          <w:b/>
        </w:rPr>
        <w:t>2</w:t>
      </w:r>
      <w:r w:rsidRPr="006E4775">
        <w:rPr>
          <w:rFonts w:ascii="Garamond" w:hAnsi="Garamond"/>
          <w:b/>
        </w:rPr>
        <w:t xml:space="preserve"> adolescentes y jóvenes </w:t>
      </w:r>
      <w:r w:rsidRPr="006E4775">
        <w:rPr>
          <w:rFonts w:ascii="Garamond" w:hAnsi="Garamond"/>
        </w:rPr>
        <w:t>que han nacido en otro país. De éstos, un 37% (64 casos) son de nacionalidad colombiana, 20% (</w:t>
      </w:r>
      <w:r w:rsidR="007B2F80">
        <w:rPr>
          <w:rFonts w:ascii="Garamond" w:hAnsi="Garamond"/>
        </w:rPr>
        <w:t>3</w:t>
      </w:r>
      <w:r w:rsidRPr="006E4775">
        <w:rPr>
          <w:rFonts w:ascii="Garamond" w:hAnsi="Garamond"/>
        </w:rPr>
        <w:t>5 AJ) de nacionalidad peruana, 1</w:t>
      </w:r>
      <w:r w:rsidR="007B2F80">
        <w:rPr>
          <w:rFonts w:ascii="Garamond" w:hAnsi="Garamond"/>
        </w:rPr>
        <w:t>9</w:t>
      </w:r>
      <w:r w:rsidRPr="006E4775">
        <w:rPr>
          <w:rFonts w:ascii="Garamond" w:hAnsi="Garamond"/>
        </w:rPr>
        <w:t>% (32 usuarios/as) de nacionalidad boliviana, 13% (2</w:t>
      </w:r>
      <w:r w:rsidR="007B2F80">
        <w:rPr>
          <w:rFonts w:ascii="Garamond" w:hAnsi="Garamond"/>
        </w:rPr>
        <w:t>2</w:t>
      </w:r>
      <w:r w:rsidRPr="006E4775">
        <w:rPr>
          <w:rFonts w:ascii="Garamond" w:hAnsi="Garamond"/>
        </w:rPr>
        <w:t xml:space="preserve"> AJ) venezolanos/as, 4% (7 casos) de Rep. Dominicana, </w:t>
      </w:r>
      <w:r w:rsidR="007B2F80">
        <w:rPr>
          <w:rFonts w:ascii="Garamond" w:hAnsi="Garamond"/>
        </w:rPr>
        <w:t>2</w:t>
      </w:r>
      <w:r w:rsidRPr="006E4775">
        <w:rPr>
          <w:rFonts w:ascii="Garamond" w:hAnsi="Garamond"/>
        </w:rPr>
        <w:t>% (5 usuarios/as) de Ecuador, 2% (3 casos) provenientes de Brasil, y, por último, hay 1 adolescente de nacionalidad rusa, otro de Italia y otro de Argentina, representando 1% del total (ver mapa</w:t>
      </w:r>
      <w:r w:rsidR="00C317D4" w:rsidRPr="006E4775">
        <w:rPr>
          <w:rStyle w:val="Refdenotaalpie"/>
          <w:rFonts w:ascii="Garamond" w:hAnsi="Garamond"/>
        </w:rPr>
        <w:footnoteReference w:id="2"/>
      </w:r>
      <w:r w:rsidRPr="006E4775">
        <w:rPr>
          <w:rFonts w:ascii="Garamond" w:hAnsi="Garamond"/>
        </w:rPr>
        <w:t xml:space="preserve">). </w:t>
      </w:r>
    </w:p>
    <w:p w14:paraId="16E3E97B" w14:textId="606117E7" w:rsidR="00EE4BB7" w:rsidRPr="006E4775" w:rsidRDefault="00EE4BB7" w:rsidP="00293B47">
      <w:pPr>
        <w:adjustRightInd w:val="0"/>
        <w:spacing w:after="0" w:line="276" w:lineRule="auto"/>
        <w:jc w:val="both"/>
        <w:rPr>
          <w:rFonts w:ascii="Garamond" w:hAnsi="Garamond"/>
        </w:rPr>
      </w:pPr>
      <w:r w:rsidRPr="006E4775">
        <w:rPr>
          <w:rFonts w:ascii="Garamond" w:hAnsi="Garamond"/>
        </w:rPr>
        <w:t>En base a ello, el presente anexo busca brindar a los equipos interventores ciertos conocimientos sobre los principales países de la población migrante en Justicia Juvenil</w:t>
      </w:r>
      <w:r w:rsidR="001801FC" w:rsidRPr="006E4775">
        <w:rPr>
          <w:rFonts w:ascii="Garamond" w:hAnsi="Garamond"/>
        </w:rPr>
        <w:t xml:space="preserve"> </w:t>
      </w:r>
      <w:r w:rsidRPr="006E4775">
        <w:rPr>
          <w:rFonts w:ascii="Garamond" w:hAnsi="Garamond"/>
        </w:rPr>
        <w:t xml:space="preserve">que sirvan como insumo para conocer mejor sus contextos y poder así abrirse mejor a una intervención con enfoque intercultural. </w:t>
      </w:r>
    </w:p>
    <w:p w14:paraId="56761711" w14:textId="5AEAF6F1" w:rsidR="00CC2B1D" w:rsidRPr="006E4775" w:rsidRDefault="009C58C5" w:rsidP="00C317D4">
      <w:pPr>
        <w:pStyle w:val="Ttulo2"/>
      </w:pPr>
      <w:bookmarkStart w:id="2" w:name="_Toc108799414"/>
      <w:r w:rsidRPr="006E4775">
        <w:t>Contenido y fuente</w:t>
      </w:r>
      <w:r w:rsidR="001801FC" w:rsidRPr="006E4775">
        <w:t>s</w:t>
      </w:r>
      <w:r w:rsidRPr="006E4775">
        <w:t xml:space="preserve"> de información</w:t>
      </w:r>
      <w:bookmarkEnd w:id="2"/>
    </w:p>
    <w:p w14:paraId="5F17775F" w14:textId="58BE5D2D" w:rsidR="00CC2B1D" w:rsidRPr="006E4775" w:rsidRDefault="00CC2B1D" w:rsidP="00293B47">
      <w:pPr>
        <w:spacing w:line="276" w:lineRule="auto"/>
        <w:jc w:val="both"/>
        <w:rPr>
          <w:rFonts w:ascii="Garamond" w:hAnsi="Garamond"/>
        </w:rPr>
      </w:pPr>
      <w:r w:rsidRPr="006E4775">
        <w:rPr>
          <w:rFonts w:ascii="Garamond" w:hAnsi="Garamond"/>
        </w:rPr>
        <w:t xml:space="preserve">Se realizó una revisión documental para describir algunos datos contextuales de las principales nacionalidades migrantes presentes en Justicia juvenil, a saber: Colombia, Perú, Bolivia, Venezuela y Rep. Dominicana. Estos grupos corresponden también a las principales nacionalidades de población migrante que se encuentra en Chile a la fecha (INE, 2021), faltando solamente Haití. Por lo anterior, también se incorpora información contextual de la República de Haití, esto por las razones ya descritas, </w:t>
      </w:r>
      <w:r w:rsidR="00293B47" w:rsidRPr="006E4775">
        <w:rPr>
          <w:rFonts w:ascii="Garamond" w:hAnsi="Garamond"/>
        </w:rPr>
        <w:t>pero,</w:t>
      </w:r>
      <w:r w:rsidRPr="006E4775">
        <w:rPr>
          <w:rFonts w:ascii="Garamond" w:hAnsi="Garamond"/>
        </w:rPr>
        <w:t xml:space="preserve"> además, porque pueden implicar un mayor desafío para la intervención intercultural al momento de que algún joven o adolescente proveniente de dicho país ingrese al circuito de Justicia Juvenil</w:t>
      </w:r>
      <w:r w:rsidR="00293B47" w:rsidRPr="006E4775">
        <w:rPr>
          <w:rFonts w:ascii="Garamond" w:hAnsi="Garamond"/>
        </w:rPr>
        <w:t>.</w:t>
      </w:r>
    </w:p>
    <w:p w14:paraId="2C4E6E8F" w14:textId="2A2C05FC" w:rsidR="00DE2671" w:rsidRPr="006E4775" w:rsidRDefault="00293B47" w:rsidP="00293B47">
      <w:pPr>
        <w:adjustRightInd w:val="0"/>
        <w:spacing w:after="0" w:line="276" w:lineRule="auto"/>
        <w:jc w:val="both"/>
        <w:rPr>
          <w:rFonts w:ascii="Garamond" w:hAnsi="Garamond"/>
        </w:rPr>
      </w:pPr>
      <w:r w:rsidRPr="006E4775">
        <w:rPr>
          <w:rFonts w:ascii="Garamond" w:hAnsi="Garamond"/>
        </w:rPr>
        <w:t>Las principales fuentes de información fueron: la página del Banco Mundial</w:t>
      </w:r>
      <w:r w:rsidRPr="006E4775">
        <w:rPr>
          <w:rStyle w:val="Refdenotaalpie"/>
          <w:rFonts w:ascii="Garamond" w:hAnsi="Garamond"/>
        </w:rPr>
        <w:footnoteReference w:id="3"/>
      </w:r>
      <w:r w:rsidRPr="006E4775">
        <w:rPr>
          <w:rFonts w:ascii="Garamond" w:hAnsi="Garamond"/>
        </w:rPr>
        <w:t>, el PNUD para el índice de Desarrollo Humano</w:t>
      </w:r>
      <w:r w:rsidRPr="006E4775">
        <w:rPr>
          <w:rStyle w:val="Refdenotaalpie"/>
          <w:rFonts w:ascii="Garamond" w:hAnsi="Garamond"/>
        </w:rPr>
        <w:footnoteReference w:id="4"/>
      </w:r>
      <w:r w:rsidRPr="006E4775">
        <w:rPr>
          <w:rFonts w:ascii="Garamond" w:hAnsi="Garamond"/>
        </w:rPr>
        <w:t xml:space="preserve">, </w:t>
      </w:r>
      <w:r w:rsidR="001801FC" w:rsidRPr="006E4775">
        <w:rPr>
          <w:rFonts w:ascii="Garamond" w:hAnsi="Garamond"/>
        </w:rPr>
        <w:t xml:space="preserve">UNICEF, </w:t>
      </w:r>
      <w:r w:rsidRPr="006E4775">
        <w:rPr>
          <w:rFonts w:ascii="Garamond" w:hAnsi="Garamond"/>
        </w:rPr>
        <w:t xml:space="preserve">y el buscador de Google y Google </w:t>
      </w:r>
      <w:proofErr w:type="spellStart"/>
      <w:r w:rsidRPr="006E4775">
        <w:rPr>
          <w:rFonts w:ascii="Garamond" w:hAnsi="Garamond"/>
        </w:rPr>
        <w:t>Scholar</w:t>
      </w:r>
      <w:proofErr w:type="spellEnd"/>
      <w:r w:rsidRPr="006E4775">
        <w:rPr>
          <w:rFonts w:ascii="Garamond" w:hAnsi="Garamond"/>
        </w:rPr>
        <w:t>, tanto para identificar literatura académica especializada en las razones migratorias de cada país, así como para encontrar otros informes o información de utilidad para identificar información de consulados y embajadas.</w:t>
      </w:r>
    </w:p>
    <w:p w14:paraId="3FFB0CAE" w14:textId="4F1F096F" w:rsidR="00DE2671" w:rsidRPr="006E4775" w:rsidRDefault="0066414F" w:rsidP="00DE2671">
      <w:pPr>
        <w:adjustRightInd w:val="0"/>
        <w:spacing w:after="0" w:line="276" w:lineRule="auto"/>
        <w:jc w:val="both"/>
        <w:rPr>
          <w:rFonts w:ascii="Garamond" w:hAnsi="Garamond"/>
        </w:rPr>
      </w:pPr>
      <w:r w:rsidRPr="006E4775">
        <w:rPr>
          <w:rFonts w:ascii="Garamond" w:hAnsi="Garamond"/>
        </w:rPr>
        <w:t>Las variables o datos detallados</w:t>
      </w:r>
      <w:r w:rsidR="00DE2671" w:rsidRPr="006E4775">
        <w:rPr>
          <w:rFonts w:ascii="Garamond" w:hAnsi="Garamond"/>
        </w:rPr>
        <w:t xml:space="preserve"> para cada país corresponden a las siguientes: </w:t>
      </w:r>
    </w:p>
    <w:p w14:paraId="44CFFAC7" w14:textId="0F3E7FEC" w:rsidR="00DE2671" w:rsidRPr="006E4775" w:rsidRDefault="00DE2671" w:rsidP="0066414F">
      <w:pPr>
        <w:pStyle w:val="Prrafodelista"/>
        <w:numPr>
          <w:ilvl w:val="0"/>
          <w:numId w:val="11"/>
        </w:numPr>
        <w:adjustRightInd w:val="0"/>
        <w:spacing w:after="0" w:line="276" w:lineRule="auto"/>
        <w:jc w:val="both"/>
        <w:rPr>
          <w:rFonts w:ascii="Garamond" w:hAnsi="Garamond"/>
          <w:sz w:val="20"/>
          <w:szCs w:val="20"/>
        </w:rPr>
      </w:pPr>
      <w:r w:rsidRPr="006E4775">
        <w:rPr>
          <w:rFonts w:ascii="Garamond" w:hAnsi="Garamond"/>
          <w:b/>
          <w:bCs/>
          <w:i/>
          <w:sz w:val="20"/>
          <w:szCs w:val="20"/>
        </w:rPr>
        <w:lastRenderedPageBreak/>
        <w:t>Población</w:t>
      </w:r>
      <w:r w:rsidRPr="006E4775">
        <w:rPr>
          <w:rFonts w:ascii="Garamond" w:hAnsi="Garamond"/>
          <w:i/>
          <w:sz w:val="20"/>
          <w:szCs w:val="20"/>
        </w:rPr>
        <w:t>:</w:t>
      </w:r>
      <w:r w:rsidRPr="006E4775">
        <w:rPr>
          <w:rFonts w:ascii="Garamond" w:hAnsi="Garamond"/>
          <w:sz w:val="20"/>
          <w:szCs w:val="20"/>
        </w:rPr>
        <w:t xml:space="preserve"> Cantidad de personas que viven en el país de acuerdo con las cifras oficiales </w:t>
      </w:r>
      <w:r w:rsidRPr="006E4775">
        <w:rPr>
          <w:rFonts w:ascii="Garamond" w:hAnsi="Garamond"/>
          <w:iCs/>
          <w:sz w:val="20"/>
          <w:szCs w:val="20"/>
        </w:rPr>
        <w:t>y más recientes.</w:t>
      </w:r>
    </w:p>
    <w:p w14:paraId="0E2B15F1" w14:textId="071A6F26" w:rsidR="00DE2671" w:rsidRPr="006E4775" w:rsidRDefault="00DE2671" w:rsidP="0066414F">
      <w:pPr>
        <w:pStyle w:val="Prrafodelista"/>
        <w:numPr>
          <w:ilvl w:val="0"/>
          <w:numId w:val="11"/>
        </w:numPr>
        <w:adjustRightInd w:val="0"/>
        <w:spacing w:after="0" w:line="276" w:lineRule="auto"/>
        <w:jc w:val="both"/>
        <w:rPr>
          <w:rFonts w:ascii="Garamond" w:hAnsi="Garamond"/>
          <w:i/>
          <w:sz w:val="20"/>
          <w:szCs w:val="20"/>
        </w:rPr>
      </w:pPr>
      <w:r w:rsidRPr="006E4775">
        <w:rPr>
          <w:rFonts w:ascii="Garamond" w:hAnsi="Garamond"/>
          <w:b/>
          <w:bCs/>
          <w:i/>
          <w:sz w:val="20"/>
          <w:szCs w:val="20"/>
        </w:rPr>
        <w:t>Porcentaje de NNAJ</w:t>
      </w:r>
      <w:r w:rsidRPr="006E4775">
        <w:rPr>
          <w:rFonts w:ascii="Garamond" w:hAnsi="Garamond"/>
          <w:i/>
          <w:sz w:val="20"/>
          <w:szCs w:val="20"/>
        </w:rPr>
        <w:t xml:space="preserve">: </w:t>
      </w:r>
      <w:r w:rsidRPr="006E4775">
        <w:rPr>
          <w:rFonts w:ascii="Garamond" w:hAnsi="Garamond"/>
          <w:iCs/>
          <w:sz w:val="20"/>
          <w:szCs w:val="20"/>
        </w:rPr>
        <w:t>Porcentaje de niñas, niños, adolescentes y jóvenes viviendo en el país de acuerdo con las cifras oficiales y más recientes.</w:t>
      </w:r>
      <w:r w:rsidRPr="006E4775">
        <w:rPr>
          <w:rFonts w:ascii="Garamond" w:hAnsi="Garamond"/>
          <w:i/>
          <w:sz w:val="20"/>
          <w:szCs w:val="20"/>
        </w:rPr>
        <w:t xml:space="preserve"> </w:t>
      </w:r>
    </w:p>
    <w:p w14:paraId="1FDD2B09" w14:textId="77777777" w:rsidR="00DE2671" w:rsidRPr="006E4775" w:rsidRDefault="00DE2671" w:rsidP="0066414F">
      <w:pPr>
        <w:pStyle w:val="Prrafodelista"/>
        <w:numPr>
          <w:ilvl w:val="0"/>
          <w:numId w:val="11"/>
        </w:numPr>
        <w:adjustRightInd w:val="0"/>
        <w:spacing w:after="0" w:line="276" w:lineRule="auto"/>
        <w:jc w:val="both"/>
        <w:rPr>
          <w:rFonts w:ascii="Garamond" w:hAnsi="Garamond"/>
          <w:sz w:val="20"/>
          <w:szCs w:val="20"/>
        </w:rPr>
      </w:pPr>
      <w:r w:rsidRPr="006E4775">
        <w:rPr>
          <w:rFonts w:ascii="Garamond" w:hAnsi="Garamond"/>
          <w:b/>
          <w:bCs/>
          <w:i/>
          <w:sz w:val="20"/>
          <w:szCs w:val="20"/>
        </w:rPr>
        <w:t>Idioma</w:t>
      </w:r>
      <w:r w:rsidRPr="006E4775">
        <w:rPr>
          <w:rFonts w:ascii="Garamond" w:hAnsi="Garamond"/>
          <w:i/>
          <w:sz w:val="20"/>
          <w:szCs w:val="20"/>
        </w:rPr>
        <w:t xml:space="preserve">: </w:t>
      </w:r>
      <w:r w:rsidRPr="006E4775">
        <w:rPr>
          <w:rFonts w:ascii="Garamond" w:hAnsi="Garamond"/>
          <w:sz w:val="20"/>
          <w:szCs w:val="20"/>
        </w:rPr>
        <w:t xml:space="preserve"> Idioma oficial hablado en dicho país.</w:t>
      </w:r>
    </w:p>
    <w:p w14:paraId="2311300B" w14:textId="69599F3C" w:rsidR="00DE2671" w:rsidRPr="006E4775" w:rsidRDefault="00DE2671" w:rsidP="0066414F">
      <w:pPr>
        <w:pStyle w:val="Prrafodelista"/>
        <w:numPr>
          <w:ilvl w:val="0"/>
          <w:numId w:val="11"/>
        </w:numPr>
        <w:adjustRightInd w:val="0"/>
        <w:spacing w:after="0" w:line="276" w:lineRule="auto"/>
        <w:jc w:val="both"/>
        <w:rPr>
          <w:rFonts w:ascii="Garamond" w:hAnsi="Garamond" w:cs="Arial"/>
          <w:sz w:val="20"/>
          <w:szCs w:val="20"/>
          <w:shd w:val="clear" w:color="auto" w:fill="F2F3F6"/>
        </w:rPr>
      </w:pPr>
      <w:r w:rsidRPr="006E4775">
        <w:rPr>
          <w:rFonts w:ascii="Garamond" w:hAnsi="Garamond"/>
          <w:b/>
          <w:bCs/>
          <w:i/>
          <w:sz w:val="20"/>
          <w:szCs w:val="20"/>
        </w:rPr>
        <w:t>PIB</w:t>
      </w:r>
      <w:r w:rsidRPr="006E4775">
        <w:rPr>
          <w:rFonts w:ascii="Garamond" w:hAnsi="Garamond"/>
          <w:i/>
          <w:sz w:val="20"/>
          <w:szCs w:val="20"/>
        </w:rPr>
        <w:t>:</w:t>
      </w:r>
      <w:r w:rsidRPr="006E4775">
        <w:rPr>
          <w:rFonts w:ascii="Garamond" w:hAnsi="Garamond"/>
          <w:sz w:val="20"/>
          <w:szCs w:val="20"/>
        </w:rPr>
        <w:t xml:space="preserve"> Producto Interno Bruto de cada país, en miles de millones de dólares de Estados Unidos. Es la suma del valor agregado bruto de todos los productores residentes en la economía del país, sumado a los impuestos a los productos, menos los subsidios no incluidos en el valor de los productos.</w:t>
      </w:r>
    </w:p>
    <w:p w14:paraId="1F5BFBAE" w14:textId="6194AE49" w:rsidR="00DE2671" w:rsidRPr="00AD3F24" w:rsidRDefault="00DE2671" w:rsidP="0066414F">
      <w:pPr>
        <w:pStyle w:val="Prrafodelista"/>
        <w:numPr>
          <w:ilvl w:val="0"/>
          <w:numId w:val="11"/>
        </w:numPr>
        <w:adjustRightInd w:val="0"/>
        <w:spacing w:after="0" w:line="276" w:lineRule="auto"/>
        <w:jc w:val="both"/>
        <w:rPr>
          <w:rFonts w:ascii="Garamond" w:hAnsi="Garamond" w:cs="Arial"/>
          <w:iCs/>
          <w:sz w:val="20"/>
          <w:szCs w:val="20"/>
          <w:shd w:val="clear" w:color="auto" w:fill="F2F3F6"/>
        </w:rPr>
      </w:pPr>
      <w:r w:rsidRPr="006E4775">
        <w:rPr>
          <w:rFonts w:ascii="Garamond" w:hAnsi="Garamond"/>
          <w:b/>
          <w:bCs/>
          <w:i/>
          <w:sz w:val="20"/>
          <w:szCs w:val="20"/>
        </w:rPr>
        <w:t>PIB per cápita:</w:t>
      </w:r>
      <w:r w:rsidR="00AD3F24">
        <w:rPr>
          <w:rFonts w:ascii="Garamond" w:hAnsi="Garamond"/>
          <w:b/>
          <w:bCs/>
          <w:i/>
          <w:sz w:val="20"/>
          <w:szCs w:val="20"/>
        </w:rPr>
        <w:t xml:space="preserve"> </w:t>
      </w:r>
      <w:r w:rsidR="00AD3F24" w:rsidRPr="00AD3F24">
        <w:rPr>
          <w:rFonts w:ascii="Garamond" w:hAnsi="Garamond"/>
          <w:iCs/>
          <w:sz w:val="20"/>
          <w:szCs w:val="20"/>
        </w:rPr>
        <w:t xml:space="preserve">Producto Interno Bruto dividido por la población a mitad de año. </w:t>
      </w:r>
    </w:p>
    <w:p w14:paraId="78FABB13" w14:textId="07EB41A1" w:rsidR="00042F99" w:rsidRPr="006E4775" w:rsidRDefault="00DE2671" w:rsidP="0066414F">
      <w:pPr>
        <w:pStyle w:val="Prrafodelista"/>
        <w:numPr>
          <w:ilvl w:val="0"/>
          <w:numId w:val="11"/>
        </w:numPr>
        <w:adjustRightInd w:val="0"/>
        <w:spacing w:after="0" w:line="276" w:lineRule="auto"/>
        <w:jc w:val="both"/>
        <w:rPr>
          <w:rFonts w:ascii="Garamond" w:hAnsi="Garamond"/>
          <w:sz w:val="20"/>
          <w:szCs w:val="20"/>
        </w:rPr>
      </w:pPr>
      <w:r w:rsidRPr="006E4775">
        <w:rPr>
          <w:rFonts w:ascii="Garamond" w:hAnsi="Garamond"/>
          <w:b/>
          <w:bCs/>
          <w:i/>
          <w:sz w:val="20"/>
          <w:szCs w:val="20"/>
        </w:rPr>
        <w:t>Nivel de pobreza</w:t>
      </w:r>
      <w:r w:rsidRPr="006E4775">
        <w:rPr>
          <w:rFonts w:ascii="Garamond" w:hAnsi="Garamond"/>
          <w:i/>
          <w:sz w:val="20"/>
          <w:szCs w:val="20"/>
        </w:rPr>
        <w:t xml:space="preserve">: </w:t>
      </w:r>
      <w:r w:rsidRPr="006E4775">
        <w:rPr>
          <w:rFonts w:ascii="Garamond" w:hAnsi="Garamond"/>
          <w:sz w:val="20"/>
          <w:szCs w:val="20"/>
        </w:rPr>
        <w:t xml:space="preserve">Porcentaje </w:t>
      </w:r>
      <w:r w:rsidR="00042F99" w:rsidRPr="006E4775">
        <w:rPr>
          <w:rFonts w:ascii="Garamond" w:hAnsi="Garamond"/>
          <w:sz w:val="20"/>
          <w:szCs w:val="20"/>
        </w:rPr>
        <w:t>m</w:t>
      </w:r>
      <w:r w:rsidRPr="006E4775">
        <w:rPr>
          <w:rFonts w:ascii="Garamond" w:hAnsi="Garamond"/>
          <w:sz w:val="20"/>
          <w:szCs w:val="20"/>
        </w:rPr>
        <w:t xml:space="preserve">edido </w:t>
      </w:r>
      <w:r w:rsidR="00042F99" w:rsidRPr="006E4775">
        <w:rPr>
          <w:rFonts w:ascii="Garamond" w:hAnsi="Garamond"/>
          <w:sz w:val="20"/>
          <w:szCs w:val="20"/>
        </w:rPr>
        <w:t>en base a</w:t>
      </w:r>
      <w:r w:rsidR="006E4775">
        <w:rPr>
          <w:rFonts w:ascii="Garamond" w:hAnsi="Garamond"/>
          <w:sz w:val="20"/>
          <w:szCs w:val="20"/>
        </w:rPr>
        <w:t xml:space="preserve"> la cantidad </w:t>
      </w:r>
      <w:r w:rsidR="00042F99" w:rsidRPr="006E4775">
        <w:rPr>
          <w:rFonts w:ascii="Garamond" w:hAnsi="Garamond"/>
          <w:sz w:val="20"/>
          <w:szCs w:val="20"/>
        </w:rPr>
        <w:t>de la población que vive con menos de US</w:t>
      </w:r>
      <w:r w:rsidRPr="006E4775">
        <w:rPr>
          <w:rFonts w:ascii="Garamond" w:hAnsi="Garamond"/>
          <w:sz w:val="20"/>
          <w:szCs w:val="20"/>
        </w:rPr>
        <w:t>$1,90 por día</w:t>
      </w:r>
      <w:r w:rsidR="00042F99" w:rsidRPr="006E4775">
        <w:rPr>
          <w:rFonts w:ascii="Garamond" w:hAnsi="Garamond"/>
          <w:sz w:val="20"/>
          <w:szCs w:val="20"/>
        </w:rPr>
        <w:t>.</w:t>
      </w:r>
    </w:p>
    <w:p w14:paraId="6126A648" w14:textId="36197907" w:rsidR="00042F99" w:rsidRPr="006E4775" w:rsidRDefault="00DE2671" w:rsidP="0066414F">
      <w:pPr>
        <w:pStyle w:val="Prrafodelista"/>
        <w:numPr>
          <w:ilvl w:val="0"/>
          <w:numId w:val="11"/>
        </w:numPr>
        <w:adjustRightInd w:val="0"/>
        <w:spacing w:after="0" w:line="276" w:lineRule="auto"/>
        <w:jc w:val="both"/>
        <w:rPr>
          <w:rFonts w:ascii="Garamond" w:hAnsi="Garamond"/>
          <w:iCs/>
          <w:sz w:val="20"/>
          <w:szCs w:val="20"/>
        </w:rPr>
      </w:pPr>
      <w:r w:rsidRPr="006E4775">
        <w:rPr>
          <w:rFonts w:ascii="Garamond" w:hAnsi="Garamond"/>
          <w:b/>
          <w:bCs/>
          <w:i/>
          <w:sz w:val="20"/>
          <w:szCs w:val="20"/>
        </w:rPr>
        <w:t>Índice de desarrollo humano</w:t>
      </w:r>
      <w:r w:rsidR="00042F99" w:rsidRPr="006E4775">
        <w:rPr>
          <w:rFonts w:ascii="Garamond" w:hAnsi="Garamond"/>
          <w:b/>
          <w:bCs/>
          <w:i/>
          <w:sz w:val="20"/>
          <w:szCs w:val="20"/>
        </w:rPr>
        <w:t>:</w:t>
      </w:r>
      <w:r w:rsidRPr="006E4775">
        <w:rPr>
          <w:rFonts w:ascii="Garamond" w:hAnsi="Garamond"/>
          <w:i/>
          <w:sz w:val="20"/>
          <w:szCs w:val="20"/>
        </w:rPr>
        <w:t xml:space="preserve"> </w:t>
      </w:r>
      <w:r w:rsidR="00042F99" w:rsidRPr="006E4775">
        <w:rPr>
          <w:rFonts w:ascii="Garamond" w:hAnsi="Garamond"/>
          <w:iCs/>
          <w:sz w:val="20"/>
          <w:szCs w:val="20"/>
        </w:rPr>
        <w:t>Indicador elaborado por el programa de Naciones Unidas para el Desarrollo (PNUD) que mide 3 niveles de desarrollo humano: esperanza de vida, educación (alfabetización, tasa de matrícula, y asistencia) e ingreso per cápita.</w:t>
      </w:r>
    </w:p>
    <w:p w14:paraId="308B917E" w14:textId="77777777" w:rsidR="00042F99" w:rsidRPr="006E4775" w:rsidRDefault="00DE2671" w:rsidP="0066414F">
      <w:pPr>
        <w:pStyle w:val="Prrafodelista"/>
        <w:numPr>
          <w:ilvl w:val="0"/>
          <w:numId w:val="11"/>
        </w:numPr>
        <w:adjustRightInd w:val="0"/>
        <w:spacing w:after="0" w:line="276" w:lineRule="auto"/>
        <w:jc w:val="both"/>
        <w:rPr>
          <w:rFonts w:ascii="Garamond" w:hAnsi="Garamond"/>
          <w:iCs/>
          <w:sz w:val="20"/>
          <w:szCs w:val="20"/>
        </w:rPr>
      </w:pPr>
      <w:r w:rsidRPr="006E4775">
        <w:rPr>
          <w:rFonts w:ascii="Garamond" w:hAnsi="Garamond"/>
          <w:b/>
          <w:bCs/>
          <w:i/>
          <w:sz w:val="20"/>
          <w:szCs w:val="20"/>
        </w:rPr>
        <w:t>Desempleo</w:t>
      </w:r>
      <w:r w:rsidR="00042F99" w:rsidRPr="006E4775">
        <w:rPr>
          <w:rFonts w:ascii="Garamond" w:hAnsi="Garamond"/>
          <w:b/>
          <w:bCs/>
          <w:i/>
          <w:sz w:val="20"/>
          <w:szCs w:val="20"/>
        </w:rPr>
        <w:t xml:space="preserve">: </w:t>
      </w:r>
      <w:r w:rsidR="00042F99" w:rsidRPr="006E4775">
        <w:rPr>
          <w:rFonts w:ascii="Garamond" w:hAnsi="Garamond"/>
          <w:iCs/>
          <w:sz w:val="20"/>
          <w:szCs w:val="20"/>
        </w:rPr>
        <w:t xml:space="preserve">la proporción de la población activa que no tiene trabajo pero que busca trabajo y está disponible para realizarlo. </w:t>
      </w:r>
    </w:p>
    <w:p w14:paraId="74216E72" w14:textId="00DFAA14" w:rsidR="00042F99" w:rsidRPr="006E4775" w:rsidRDefault="00DE2671" w:rsidP="0066414F">
      <w:pPr>
        <w:pStyle w:val="Prrafodelista"/>
        <w:numPr>
          <w:ilvl w:val="0"/>
          <w:numId w:val="11"/>
        </w:numPr>
        <w:adjustRightInd w:val="0"/>
        <w:spacing w:after="0" w:line="276" w:lineRule="auto"/>
        <w:jc w:val="both"/>
        <w:rPr>
          <w:rFonts w:ascii="Garamond" w:hAnsi="Garamond"/>
          <w:iCs/>
          <w:sz w:val="20"/>
          <w:szCs w:val="20"/>
        </w:rPr>
      </w:pPr>
      <w:r w:rsidRPr="006E4775">
        <w:rPr>
          <w:rFonts w:ascii="Garamond" w:hAnsi="Garamond"/>
          <w:b/>
          <w:bCs/>
          <w:i/>
          <w:sz w:val="20"/>
          <w:szCs w:val="20"/>
        </w:rPr>
        <w:t>Esperanza de vida al nacer</w:t>
      </w:r>
      <w:r w:rsidRPr="006E4775">
        <w:rPr>
          <w:rFonts w:ascii="Garamond" w:hAnsi="Garamond"/>
          <w:iCs/>
          <w:sz w:val="20"/>
          <w:szCs w:val="20"/>
        </w:rPr>
        <w:t xml:space="preserve">: </w:t>
      </w:r>
      <w:r w:rsidR="00042F99" w:rsidRPr="006E4775">
        <w:rPr>
          <w:rFonts w:ascii="Garamond" w:hAnsi="Garamond"/>
          <w:iCs/>
          <w:sz w:val="20"/>
          <w:szCs w:val="20"/>
        </w:rPr>
        <w:t xml:space="preserve">Cantidad de años que viviría un recién nacido si los patrones de mortalidad vigentes al momento de su nacimiento no cambian a lo largo de la vida del infante. </w:t>
      </w:r>
    </w:p>
    <w:p w14:paraId="7ED5B3E9" w14:textId="77777777" w:rsidR="0066414F" w:rsidRPr="006E4775" w:rsidRDefault="00DE2671" w:rsidP="0066414F">
      <w:pPr>
        <w:pStyle w:val="Prrafodelista"/>
        <w:numPr>
          <w:ilvl w:val="0"/>
          <w:numId w:val="11"/>
        </w:numPr>
        <w:adjustRightInd w:val="0"/>
        <w:spacing w:after="0" w:line="276" w:lineRule="auto"/>
        <w:jc w:val="both"/>
        <w:rPr>
          <w:rFonts w:ascii="Garamond" w:hAnsi="Garamond"/>
          <w:iCs/>
          <w:sz w:val="20"/>
          <w:szCs w:val="20"/>
        </w:rPr>
      </w:pPr>
      <w:r w:rsidRPr="006E4775">
        <w:rPr>
          <w:rFonts w:ascii="Garamond" w:hAnsi="Garamond"/>
          <w:b/>
          <w:bCs/>
          <w:i/>
          <w:sz w:val="20"/>
          <w:szCs w:val="20"/>
        </w:rPr>
        <w:t>Tasa de homicidios intencionales</w:t>
      </w:r>
      <w:r w:rsidR="00042F99" w:rsidRPr="006E4775">
        <w:rPr>
          <w:rFonts w:ascii="Garamond" w:hAnsi="Garamond"/>
          <w:b/>
          <w:bCs/>
          <w:i/>
          <w:sz w:val="20"/>
          <w:szCs w:val="20"/>
        </w:rPr>
        <w:t xml:space="preserve">: </w:t>
      </w:r>
      <w:r w:rsidR="00042F99" w:rsidRPr="006E4775">
        <w:rPr>
          <w:rFonts w:ascii="Garamond" w:hAnsi="Garamond"/>
          <w:iCs/>
          <w:sz w:val="20"/>
          <w:szCs w:val="20"/>
        </w:rPr>
        <w:t xml:space="preserve">Cantidad de homicidios ilegales cada 100 mil habitantes cometidos en forma intencional. </w:t>
      </w:r>
    </w:p>
    <w:p w14:paraId="08D72A68" w14:textId="3B165760" w:rsidR="0066414F" w:rsidRPr="006E4775" w:rsidRDefault="00DE2671" w:rsidP="0066414F">
      <w:pPr>
        <w:pStyle w:val="Textonotapie"/>
        <w:numPr>
          <w:ilvl w:val="0"/>
          <w:numId w:val="11"/>
        </w:numPr>
        <w:rPr>
          <w:rFonts w:ascii="Garamond" w:hAnsi="Garamond"/>
        </w:rPr>
      </w:pPr>
      <w:r w:rsidRPr="006E4775">
        <w:rPr>
          <w:rFonts w:ascii="Garamond" w:hAnsi="Garamond"/>
          <w:b/>
          <w:bCs/>
          <w:i/>
        </w:rPr>
        <w:t>Migración</w:t>
      </w:r>
      <w:r w:rsidRPr="006E4775">
        <w:rPr>
          <w:rFonts w:ascii="Garamond" w:hAnsi="Garamond"/>
          <w:b/>
          <w:bCs/>
          <w:iCs/>
        </w:rPr>
        <w:t xml:space="preserve"> </w:t>
      </w:r>
      <w:r w:rsidRPr="006E4775">
        <w:rPr>
          <w:rFonts w:ascii="Garamond" w:hAnsi="Garamond"/>
          <w:b/>
          <w:bCs/>
          <w:i/>
          <w:iCs/>
        </w:rPr>
        <w:t>neta</w:t>
      </w:r>
      <w:r w:rsidR="0066414F" w:rsidRPr="006E4775">
        <w:rPr>
          <w:rFonts w:ascii="Garamond" w:hAnsi="Garamond"/>
          <w:b/>
          <w:bCs/>
          <w:i/>
          <w:iCs/>
        </w:rPr>
        <w:t xml:space="preserve">: </w:t>
      </w:r>
      <w:r w:rsidR="0066414F" w:rsidRPr="006E4775">
        <w:rPr>
          <w:rFonts w:ascii="Garamond" w:hAnsi="Garamond"/>
        </w:rPr>
        <w:t xml:space="preserve">Total neto de personas que migraron durante el período, calculado </w:t>
      </w:r>
      <w:proofErr w:type="gramStart"/>
      <w:r w:rsidR="0066414F" w:rsidRPr="006E4775">
        <w:rPr>
          <w:rFonts w:ascii="Garamond" w:hAnsi="Garamond"/>
        </w:rPr>
        <w:t>de acuerdo a</w:t>
      </w:r>
      <w:proofErr w:type="gramEnd"/>
      <w:r w:rsidR="0066414F" w:rsidRPr="006E4775">
        <w:rPr>
          <w:rFonts w:ascii="Garamond" w:hAnsi="Garamond"/>
        </w:rPr>
        <w:t xml:space="preserve"> la cantidad total de personas que migran al país (inmigrantes), menos la cantidad anual de personas que migran fuera del país (emigrantes), incluidos ciudadanos y no ciudadanos, con estimaciones de cinco años.</w:t>
      </w:r>
    </w:p>
    <w:p w14:paraId="6322C727" w14:textId="65360BB3" w:rsidR="0066414F" w:rsidRPr="006E4775" w:rsidRDefault="0066414F" w:rsidP="0066414F">
      <w:pPr>
        <w:pStyle w:val="Textonotapie"/>
        <w:numPr>
          <w:ilvl w:val="0"/>
          <w:numId w:val="11"/>
        </w:numPr>
        <w:rPr>
          <w:rFonts w:ascii="Garamond" w:hAnsi="Garamond"/>
        </w:rPr>
      </w:pPr>
      <w:r w:rsidRPr="006E4775">
        <w:rPr>
          <w:rFonts w:ascii="Garamond" w:hAnsi="Garamond"/>
          <w:b/>
          <w:bCs/>
          <w:i/>
          <w:iCs/>
        </w:rPr>
        <w:t>Descripción fenómeno migratorio del país</w:t>
      </w:r>
      <w:r w:rsidRPr="006E4775">
        <w:rPr>
          <w:rFonts w:ascii="Garamond" w:hAnsi="Garamond"/>
        </w:rPr>
        <w:t>: Descripción de principales cifras y causas migratorias de cada país, de acuerdo con la literatura.</w:t>
      </w:r>
    </w:p>
    <w:p w14:paraId="1E942E4B" w14:textId="34A636B3" w:rsidR="0066414F" w:rsidRPr="006E4775" w:rsidRDefault="0066414F" w:rsidP="00B90F58">
      <w:pPr>
        <w:pStyle w:val="Textonotapie"/>
        <w:numPr>
          <w:ilvl w:val="0"/>
          <w:numId w:val="11"/>
        </w:numPr>
        <w:rPr>
          <w:rFonts w:ascii="Garamond" w:hAnsi="Garamond"/>
          <w:sz w:val="22"/>
          <w:szCs w:val="22"/>
        </w:rPr>
      </w:pPr>
      <w:r w:rsidRPr="006E4775">
        <w:rPr>
          <w:rFonts w:ascii="Garamond" w:hAnsi="Garamond"/>
          <w:b/>
          <w:bCs/>
        </w:rPr>
        <w:t>Embajadas o consulados</w:t>
      </w:r>
      <w:r w:rsidRPr="006E4775">
        <w:rPr>
          <w:rFonts w:ascii="Garamond" w:hAnsi="Garamond"/>
        </w:rPr>
        <w:t>: Descripción de información de contacto y dirección de dichas instituciones, de cada país, presentes en Chile</w:t>
      </w:r>
      <w:r w:rsidR="00296630" w:rsidRPr="006E4775">
        <w:rPr>
          <w:rFonts w:ascii="Garamond" w:hAnsi="Garamond"/>
        </w:rPr>
        <w:t>.</w:t>
      </w:r>
    </w:p>
    <w:p w14:paraId="36872D29" w14:textId="77777777" w:rsidR="00296630" w:rsidRPr="006E4775" w:rsidRDefault="00296630" w:rsidP="00296630">
      <w:pPr>
        <w:pStyle w:val="Ttulo1"/>
        <w:sectPr w:rsidR="00296630" w:rsidRPr="006E4775">
          <w:headerReference w:type="default" r:id="rId11"/>
          <w:footerReference w:type="default" r:id="rId12"/>
          <w:pgSz w:w="12240" w:h="15840"/>
          <w:pgMar w:top="1417" w:right="1701" w:bottom="1417" w:left="1701" w:header="708" w:footer="708" w:gutter="0"/>
          <w:pgNumType w:start="1"/>
          <w:cols w:space="720"/>
        </w:sectPr>
      </w:pPr>
    </w:p>
    <w:p w14:paraId="53828AE6" w14:textId="79673A7A" w:rsidR="00296630" w:rsidRPr="006E4775" w:rsidRDefault="008309A1" w:rsidP="00296630">
      <w:pPr>
        <w:pStyle w:val="Ttulo1"/>
      </w:pPr>
      <w:bookmarkStart w:id="3" w:name="_Toc108799415"/>
      <w:r w:rsidRPr="006E4775">
        <w:lastRenderedPageBreak/>
        <w:t>Descripción de países</w:t>
      </w:r>
      <w:bookmarkEnd w:id="3"/>
    </w:p>
    <w:p w14:paraId="2BC31B64" w14:textId="5995B462" w:rsidR="002430E3" w:rsidRPr="006E4775" w:rsidRDefault="00E62E0D" w:rsidP="002430E3">
      <w:r w:rsidRPr="006E4775">
        <w:t>Antes de pasar a la descripción de cada país</w:t>
      </w:r>
      <w:r w:rsidR="002430E3" w:rsidRPr="006E4775">
        <w:t>, se presenta</w:t>
      </w:r>
      <w:r w:rsidR="008309A1" w:rsidRPr="006E4775">
        <w:t xml:space="preserve"> una síntesis de </w:t>
      </w:r>
      <w:r w:rsidR="002430E3" w:rsidRPr="006E4775">
        <w:t>datos relevantes</w:t>
      </w:r>
      <w:r w:rsidR="008309A1" w:rsidRPr="006E4775">
        <w:t xml:space="preserve"> que pueden servir</w:t>
      </w:r>
      <w:r w:rsidR="002430E3" w:rsidRPr="006E4775">
        <w:t xml:space="preserve"> para </w:t>
      </w:r>
      <w:r w:rsidR="008309A1" w:rsidRPr="006E4775">
        <w:t xml:space="preserve">tener una mirada comparada de los distintos contextos </w:t>
      </w:r>
      <w:r w:rsidRPr="006E4775">
        <w:t xml:space="preserve">nacionales, </w:t>
      </w:r>
      <w:r w:rsidR="00532D4F" w:rsidRPr="006E4775">
        <w:t>incluido Chile, para insumar</w:t>
      </w:r>
      <w:r w:rsidR="008309A1" w:rsidRPr="006E4775">
        <w:t xml:space="preserve"> la</w:t>
      </w:r>
      <w:r w:rsidR="002430E3" w:rsidRPr="006E4775">
        <w:t xml:space="preserve"> intervención intercultural en Justicia Juvenil. </w:t>
      </w:r>
    </w:p>
    <w:tbl>
      <w:tblPr>
        <w:tblStyle w:val="Tablaconcuadrcula"/>
        <w:tblW w:w="12610" w:type="dxa"/>
        <w:tblLook w:val="04A0" w:firstRow="1" w:lastRow="0" w:firstColumn="1" w:lastColumn="0" w:noHBand="0" w:noVBand="1"/>
      </w:tblPr>
      <w:tblGrid>
        <w:gridCol w:w="1413"/>
        <w:gridCol w:w="1701"/>
        <w:gridCol w:w="1701"/>
        <w:gridCol w:w="1701"/>
        <w:gridCol w:w="1701"/>
        <w:gridCol w:w="1417"/>
        <w:gridCol w:w="1417"/>
        <w:gridCol w:w="1559"/>
      </w:tblGrid>
      <w:tr w:rsidR="004566A6" w:rsidRPr="006E4775" w14:paraId="2834D7D8" w14:textId="77777777" w:rsidTr="004566A6">
        <w:tc>
          <w:tcPr>
            <w:tcW w:w="1413" w:type="dxa"/>
            <w:shd w:val="clear" w:color="auto" w:fill="E7E6E6" w:themeFill="background2"/>
          </w:tcPr>
          <w:p w14:paraId="251391E1" w14:textId="77777777" w:rsidR="004566A6" w:rsidRPr="006E4775" w:rsidRDefault="004566A6" w:rsidP="004566A6">
            <w:pPr>
              <w:rPr>
                <w:rFonts w:ascii="Garamond" w:hAnsi="Garamond"/>
                <w:sz w:val="16"/>
                <w:szCs w:val="16"/>
              </w:rPr>
            </w:pPr>
            <w:bookmarkStart w:id="4" w:name="_Hlk108787685"/>
            <w:r w:rsidRPr="006E4775">
              <w:rPr>
                <w:rFonts w:ascii="Garamond" w:hAnsi="Garamond"/>
                <w:b/>
                <w:sz w:val="16"/>
                <w:szCs w:val="16"/>
              </w:rPr>
              <w:t xml:space="preserve">Datos </w:t>
            </w:r>
          </w:p>
        </w:tc>
        <w:tc>
          <w:tcPr>
            <w:tcW w:w="1701" w:type="dxa"/>
            <w:shd w:val="clear" w:color="auto" w:fill="E7E6E6" w:themeFill="background2"/>
          </w:tcPr>
          <w:p w14:paraId="229F9166" w14:textId="1A5A40CA" w:rsidR="004566A6" w:rsidRPr="006E4775" w:rsidRDefault="004566A6" w:rsidP="004566A6">
            <w:pPr>
              <w:rPr>
                <w:rFonts w:ascii="Garamond" w:hAnsi="Garamond"/>
                <w:b/>
                <w:bCs/>
                <w:sz w:val="16"/>
                <w:szCs w:val="16"/>
              </w:rPr>
            </w:pPr>
            <w:r w:rsidRPr="006E4775">
              <w:rPr>
                <w:rFonts w:ascii="Garamond" w:hAnsi="Garamond"/>
                <w:b/>
                <w:bCs/>
                <w:sz w:val="16"/>
                <w:szCs w:val="16"/>
              </w:rPr>
              <w:t>Colombia</w:t>
            </w:r>
          </w:p>
        </w:tc>
        <w:tc>
          <w:tcPr>
            <w:tcW w:w="1701" w:type="dxa"/>
            <w:shd w:val="clear" w:color="auto" w:fill="E7E6E6" w:themeFill="background2"/>
          </w:tcPr>
          <w:p w14:paraId="48DEE75F" w14:textId="3179FBB9" w:rsidR="004566A6" w:rsidRPr="006E4775" w:rsidRDefault="004566A6" w:rsidP="004566A6">
            <w:pPr>
              <w:rPr>
                <w:rFonts w:ascii="Garamond" w:hAnsi="Garamond"/>
                <w:b/>
                <w:bCs/>
                <w:sz w:val="16"/>
                <w:szCs w:val="16"/>
              </w:rPr>
            </w:pPr>
            <w:r w:rsidRPr="006E4775">
              <w:rPr>
                <w:rFonts w:ascii="Garamond" w:hAnsi="Garamond"/>
                <w:b/>
                <w:bCs/>
                <w:sz w:val="16"/>
                <w:szCs w:val="16"/>
              </w:rPr>
              <w:t>Rep. De Perú</w:t>
            </w:r>
          </w:p>
        </w:tc>
        <w:tc>
          <w:tcPr>
            <w:tcW w:w="1701" w:type="dxa"/>
            <w:shd w:val="clear" w:color="auto" w:fill="E7E6E6" w:themeFill="background2"/>
          </w:tcPr>
          <w:p w14:paraId="2F9F4DE3" w14:textId="073D12CA" w:rsidR="004566A6" w:rsidRPr="006E4775" w:rsidRDefault="004566A6" w:rsidP="004566A6">
            <w:pPr>
              <w:rPr>
                <w:rFonts w:ascii="Garamond" w:hAnsi="Garamond"/>
                <w:b/>
                <w:bCs/>
                <w:sz w:val="16"/>
                <w:szCs w:val="16"/>
              </w:rPr>
            </w:pPr>
            <w:r w:rsidRPr="006E4775">
              <w:rPr>
                <w:rFonts w:ascii="Garamond" w:hAnsi="Garamond"/>
                <w:b/>
                <w:bCs/>
                <w:sz w:val="16"/>
                <w:szCs w:val="16"/>
              </w:rPr>
              <w:t>Estado Plurinacional de Bolivia</w:t>
            </w:r>
          </w:p>
        </w:tc>
        <w:tc>
          <w:tcPr>
            <w:tcW w:w="1701" w:type="dxa"/>
            <w:shd w:val="clear" w:color="auto" w:fill="E7E6E6" w:themeFill="background2"/>
          </w:tcPr>
          <w:p w14:paraId="1874E8E4" w14:textId="2225D8DC" w:rsidR="004566A6" w:rsidRPr="006E4775" w:rsidRDefault="004566A6" w:rsidP="004566A6">
            <w:pPr>
              <w:rPr>
                <w:rFonts w:ascii="Garamond" w:hAnsi="Garamond"/>
                <w:b/>
                <w:bCs/>
                <w:sz w:val="16"/>
                <w:szCs w:val="16"/>
              </w:rPr>
            </w:pPr>
            <w:r w:rsidRPr="006E4775">
              <w:rPr>
                <w:rFonts w:ascii="Garamond" w:hAnsi="Garamond"/>
                <w:b/>
                <w:bCs/>
                <w:sz w:val="16"/>
                <w:szCs w:val="16"/>
              </w:rPr>
              <w:t>Rep. Bol. Venezuela</w:t>
            </w:r>
          </w:p>
        </w:tc>
        <w:tc>
          <w:tcPr>
            <w:tcW w:w="1417" w:type="dxa"/>
            <w:shd w:val="clear" w:color="auto" w:fill="E7E6E6" w:themeFill="background2"/>
          </w:tcPr>
          <w:p w14:paraId="1D90F865" w14:textId="77777777" w:rsidR="004566A6" w:rsidRPr="006E4775" w:rsidRDefault="004566A6" w:rsidP="004566A6">
            <w:pPr>
              <w:rPr>
                <w:rFonts w:ascii="Garamond" w:hAnsi="Garamond"/>
                <w:b/>
                <w:bCs/>
                <w:sz w:val="16"/>
                <w:szCs w:val="16"/>
              </w:rPr>
            </w:pPr>
            <w:r w:rsidRPr="006E4775">
              <w:rPr>
                <w:rFonts w:ascii="Garamond" w:hAnsi="Garamond"/>
                <w:b/>
                <w:bCs/>
                <w:sz w:val="16"/>
                <w:szCs w:val="16"/>
              </w:rPr>
              <w:t>Rep. Dominicana</w:t>
            </w:r>
          </w:p>
        </w:tc>
        <w:tc>
          <w:tcPr>
            <w:tcW w:w="1417" w:type="dxa"/>
            <w:shd w:val="clear" w:color="auto" w:fill="E7E6E6" w:themeFill="background2"/>
          </w:tcPr>
          <w:p w14:paraId="2D4F9AE2" w14:textId="77777777" w:rsidR="004566A6" w:rsidRPr="006E4775" w:rsidRDefault="004566A6" w:rsidP="004566A6">
            <w:pPr>
              <w:rPr>
                <w:rFonts w:ascii="Garamond" w:hAnsi="Garamond"/>
                <w:b/>
                <w:bCs/>
                <w:sz w:val="16"/>
                <w:szCs w:val="16"/>
              </w:rPr>
            </w:pPr>
            <w:r w:rsidRPr="006E4775">
              <w:rPr>
                <w:rFonts w:ascii="Garamond" w:hAnsi="Garamond"/>
                <w:b/>
                <w:bCs/>
                <w:sz w:val="16"/>
                <w:szCs w:val="16"/>
              </w:rPr>
              <w:t>Rep. De Haití</w:t>
            </w:r>
          </w:p>
        </w:tc>
        <w:tc>
          <w:tcPr>
            <w:tcW w:w="1559" w:type="dxa"/>
            <w:shd w:val="clear" w:color="auto" w:fill="F7CAAC" w:themeFill="accent2" w:themeFillTint="66"/>
          </w:tcPr>
          <w:p w14:paraId="61F5A7D7" w14:textId="77777777" w:rsidR="004566A6" w:rsidRPr="006E4775" w:rsidRDefault="004566A6" w:rsidP="004566A6">
            <w:pPr>
              <w:rPr>
                <w:rFonts w:ascii="Garamond" w:hAnsi="Garamond"/>
                <w:b/>
                <w:bCs/>
                <w:sz w:val="16"/>
                <w:szCs w:val="16"/>
              </w:rPr>
            </w:pPr>
            <w:r w:rsidRPr="006E4775">
              <w:rPr>
                <w:rFonts w:ascii="Garamond" w:hAnsi="Garamond"/>
                <w:b/>
                <w:bCs/>
                <w:sz w:val="16"/>
                <w:szCs w:val="16"/>
              </w:rPr>
              <w:t>Chile</w:t>
            </w:r>
          </w:p>
        </w:tc>
      </w:tr>
      <w:tr w:rsidR="004566A6" w:rsidRPr="006E4775" w14:paraId="36989ECB" w14:textId="77777777" w:rsidTr="004566A6">
        <w:tc>
          <w:tcPr>
            <w:tcW w:w="1413" w:type="dxa"/>
            <w:shd w:val="clear" w:color="auto" w:fill="E7E6E6" w:themeFill="background2"/>
          </w:tcPr>
          <w:p w14:paraId="34B9F85E" w14:textId="1E6942DE" w:rsidR="004566A6" w:rsidRPr="006E4775" w:rsidRDefault="004566A6" w:rsidP="004566A6">
            <w:pPr>
              <w:rPr>
                <w:rFonts w:ascii="Garamond" w:hAnsi="Garamond"/>
                <w:iCs/>
                <w:sz w:val="16"/>
                <w:szCs w:val="16"/>
              </w:rPr>
            </w:pPr>
            <w:r w:rsidRPr="006E4775">
              <w:rPr>
                <w:rFonts w:ascii="Garamond" w:hAnsi="Garamond"/>
                <w:iCs/>
                <w:sz w:val="16"/>
                <w:szCs w:val="16"/>
              </w:rPr>
              <w:t>Región</w:t>
            </w:r>
          </w:p>
        </w:tc>
        <w:tc>
          <w:tcPr>
            <w:tcW w:w="1701" w:type="dxa"/>
          </w:tcPr>
          <w:p w14:paraId="4BD52C5E" w14:textId="137442FA" w:rsidR="004566A6" w:rsidRPr="006E4775" w:rsidRDefault="004566A6" w:rsidP="004566A6">
            <w:pPr>
              <w:rPr>
                <w:rFonts w:ascii="Garamond" w:hAnsi="Garamond"/>
                <w:sz w:val="16"/>
                <w:szCs w:val="16"/>
              </w:rPr>
            </w:pPr>
            <w:r w:rsidRPr="006E4775">
              <w:rPr>
                <w:rFonts w:ascii="Garamond" w:hAnsi="Garamond"/>
                <w:sz w:val="16"/>
                <w:szCs w:val="16"/>
              </w:rPr>
              <w:t>América del Sur</w:t>
            </w:r>
          </w:p>
        </w:tc>
        <w:tc>
          <w:tcPr>
            <w:tcW w:w="1701" w:type="dxa"/>
          </w:tcPr>
          <w:p w14:paraId="173CE878" w14:textId="2FBAB469" w:rsidR="004566A6" w:rsidRPr="006E4775" w:rsidRDefault="004566A6" w:rsidP="004566A6">
            <w:pPr>
              <w:rPr>
                <w:rFonts w:ascii="Garamond" w:hAnsi="Garamond"/>
                <w:sz w:val="16"/>
                <w:szCs w:val="16"/>
              </w:rPr>
            </w:pPr>
            <w:r w:rsidRPr="006E4775">
              <w:rPr>
                <w:rFonts w:ascii="Garamond" w:hAnsi="Garamond"/>
                <w:sz w:val="16"/>
                <w:szCs w:val="16"/>
              </w:rPr>
              <w:t>América del Sur</w:t>
            </w:r>
          </w:p>
        </w:tc>
        <w:tc>
          <w:tcPr>
            <w:tcW w:w="1701" w:type="dxa"/>
          </w:tcPr>
          <w:p w14:paraId="5F7EC55B" w14:textId="4D067A77" w:rsidR="004566A6" w:rsidRPr="006E4775" w:rsidRDefault="004566A6" w:rsidP="004566A6">
            <w:pPr>
              <w:rPr>
                <w:rFonts w:ascii="Garamond" w:hAnsi="Garamond"/>
                <w:sz w:val="16"/>
                <w:szCs w:val="16"/>
              </w:rPr>
            </w:pPr>
            <w:r w:rsidRPr="006E4775">
              <w:rPr>
                <w:rFonts w:ascii="Garamond" w:hAnsi="Garamond"/>
                <w:sz w:val="16"/>
                <w:szCs w:val="16"/>
              </w:rPr>
              <w:t>América del Sur</w:t>
            </w:r>
          </w:p>
        </w:tc>
        <w:tc>
          <w:tcPr>
            <w:tcW w:w="1701" w:type="dxa"/>
          </w:tcPr>
          <w:p w14:paraId="0BE5E759" w14:textId="20FD2E7D" w:rsidR="004566A6" w:rsidRPr="006E4775" w:rsidRDefault="004566A6" w:rsidP="004566A6">
            <w:pPr>
              <w:rPr>
                <w:rFonts w:ascii="Garamond" w:hAnsi="Garamond"/>
                <w:sz w:val="16"/>
                <w:szCs w:val="16"/>
              </w:rPr>
            </w:pPr>
            <w:r w:rsidRPr="006E4775">
              <w:rPr>
                <w:rFonts w:ascii="Garamond" w:hAnsi="Garamond"/>
                <w:sz w:val="16"/>
                <w:szCs w:val="16"/>
              </w:rPr>
              <w:t>América del Sur</w:t>
            </w:r>
          </w:p>
        </w:tc>
        <w:tc>
          <w:tcPr>
            <w:tcW w:w="1417" w:type="dxa"/>
          </w:tcPr>
          <w:p w14:paraId="2A63CB2F" w14:textId="4EE41CC4" w:rsidR="004566A6" w:rsidRPr="006E4775" w:rsidRDefault="004566A6" w:rsidP="004566A6">
            <w:pPr>
              <w:rPr>
                <w:rFonts w:ascii="Garamond" w:hAnsi="Garamond"/>
                <w:sz w:val="16"/>
                <w:szCs w:val="16"/>
              </w:rPr>
            </w:pPr>
            <w:r w:rsidRPr="006E4775">
              <w:rPr>
                <w:rFonts w:ascii="Garamond" w:hAnsi="Garamond"/>
                <w:sz w:val="16"/>
                <w:szCs w:val="16"/>
              </w:rPr>
              <w:t>Caribe</w:t>
            </w:r>
          </w:p>
        </w:tc>
        <w:tc>
          <w:tcPr>
            <w:tcW w:w="1417" w:type="dxa"/>
          </w:tcPr>
          <w:p w14:paraId="271D2FB5" w14:textId="0FED6B9E" w:rsidR="004566A6" w:rsidRPr="006E4775" w:rsidRDefault="004566A6" w:rsidP="004566A6">
            <w:pPr>
              <w:rPr>
                <w:rFonts w:ascii="Garamond" w:hAnsi="Garamond"/>
                <w:sz w:val="16"/>
                <w:szCs w:val="16"/>
              </w:rPr>
            </w:pPr>
            <w:r w:rsidRPr="006E4775">
              <w:rPr>
                <w:rFonts w:ascii="Garamond" w:hAnsi="Garamond"/>
                <w:sz w:val="16"/>
                <w:szCs w:val="16"/>
              </w:rPr>
              <w:t>Caribe</w:t>
            </w:r>
          </w:p>
        </w:tc>
        <w:tc>
          <w:tcPr>
            <w:tcW w:w="1559" w:type="dxa"/>
            <w:shd w:val="clear" w:color="auto" w:fill="F7CAAC" w:themeFill="accent2" w:themeFillTint="66"/>
          </w:tcPr>
          <w:p w14:paraId="25BBF451" w14:textId="224643D9" w:rsidR="004566A6" w:rsidRPr="006E4775" w:rsidRDefault="004566A6" w:rsidP="004566A6">
            <w:pPr>
              <w:rPr>
                <w:rFonts w:ascii="Garamond" w:hAnsi="Garamond"/>
                <w:sz w:val="16"/>
                <w:szCs w:val="16"/>
              </w:rPr>
            </w:pPr>
            <w:r w:rsidRPr="006E4775">
              <w:rPr>
                <w:rFonts w:ascii="Garamond" w:hAnsi="Garamond"/>
                <w:sz w:val="16"/>
                <w:szCs w:val="16"/>
              </w:rPr>
              <w:t>América del Sur</w:t>
            </w:r>
          </w:p>
        </w:tc>
      </w:tr>
      <w:tr w:rsidR="004566A6" w:rsidRPr="006E4775" w14:paraId="1F300584" w14:textId="77777777" w:rsidTr="004566A6">
        <w:tc>
          <w:tcPr>
            <w:tcW w:w="1413" w:type="dxa"/>
            <w:shd w:val="clear" w:color="auto" w:fill="E7E6E6" w:themeFill="background2"/>
          </w:tcPr>
          <w:p w14:paraId="0E495329" w14:textId="77777777" w:rsidR="004566A6" w:rsidRPr="006E4775" w:rsidRDefault="004566A6" w:rsidP="004566A6">
            <w:pPr>
              <w:rPr>
                <w:rFonts w:ascii="Garamond" w:hAnsi="Garamond"/>
                <w:iCs/>
                <w:sz w:val="16"/>
                <w:szCs w:val="16"/>
              </w:rPr>
            </w:pPr>
            <w:r w:rsidRPr="006E4775">
              <w:rPr>
                <w:rFonts w:ascii="Garamond" w:hAnsi="Garamond"/>
                <w:iCs/>
                <w:sz w:val="16"/>
                <w:szCs w:val="16"/>
              </w:rPr>
              <w:t xml:space="preserve">Población </w:t>
            </w:r>
          </w:p>
        </w:tc>
        <w:tc>
          <w:tcPr>
            <w:tcW w:w="1701" w:type="dxa"/>
          </w:tcPr>
          <w:p w14:paraId="3179AFCB" w14:textId="6E3A3022" w:rsidR="004566A6" w:rsidRPr="006E4775" w:rsidRDefault="004566A6" w:rsidP="004566A6">
            <w:pPr>
              <w:rPr>
                <w:rFonts w:ascii="Garamond" w:hAnsi="Garamond"/>
                <w:sz w:val="16"/>
                <w:szCs w:val="16"/>
              </w:rPr>
            </w:pPr>
            <w:r w:rsidRPr="006E4775">
              <w:rPr>
                <w:rFonts w:ascii="Garamond" w:hAnsi="Garamond"/>
                <w:sz w:val="16"/>
                <w:szCs w:val="16"/>
              </w:rPr>
              <w:t>51.265.841 (2021)</w:t>
            </w:r>
          </w:p>
        </w:tc>
        <w:tc>
          <w:tcPr>
            <w:tcW w:w="1701" w:type="dxa"/>
          </w:tcPr>
          <w:p w14:paraId="523214BC" w14:textId="28A7EF92" w:rsidR="004566A6" w:rsidRPr="006E4775" w:rsidRDefault="004566A6" w:rsidP="004566A6">
            <w:pPr>
              <w:rPr>
                <w:rFonts w:ascii="Garamond" w:hAnsi="Garamond"/>
                <w:sz w:val="16"/>
                <w:szCs w:val="16"/>
              </w:rPr>
            </w:pPr>
            <w:r w:rsidRPr="006E4775">
              <w:rPr>
                <w:rFonts w:ascii="Garamond" w:hAnsi="Garamond"/>
                <w:sz w:val="16"/>
                <w:szCs w:val="16"/>
              </w:rPr>
              <w:t>33.359.416 (2021)</w:t>
            </w:r>
          </w:p>
        </w:tc>
        <w:tc>
          <w:tcPr>
            <w:tcW w:w="1701" w:type="dxa"/>
          </w:tcPr>
          <w:p w14:paraId="7215A0DC" w14:textId="0C951215" w:rsidR="004566A6" w:rsidRPr="006E4775" w:rsidRDefault="004566A6" w:rsidP="004566A6">
            <w:pPr>
              <w:rPr>
                <w:rFonts w:ascii="Garamond" w:hAnsi="Garamond"/>
                <w:sz w:val="16"/>
                <w:szCs w:val="16"/>
              </w:rPr>
            </w:pPr>
            <w:r w:rsidRPr="006E4775">
              <w:rPr>
                <w:rFonts w:ascii="Garamond" w:hAnsi="Garamond"/>
                <w:sz w:val="16"/>
                <w:szCs w:val="16"/>
              </w:rPr>
              <w:t>11.832,940 (2021)</w:t>
            </w:r>
          </w:p>
        </w:tc>
        <w:tc>
          <w:tcPr>
            <w:tcW w:w="1701" w:type="dxa"/>
          </w:tcPr>
          <w:p w14:paraId="3BD0E8B6" w14:textId="2BED3E96" w:rsidR="004566A6" w:rsidRPr="006E4775" w:rsidRDefault="004566A6" w:rsidP="004566A6">
            <w:pPr>
              <w:rPr>
                <w:rFonts w:ascii="Garamond" w:hAnsi="Garamond"/>
                <w:sz w:val="16"/>
                <w:szCs w:val="16"/>
              </w:rPr>
            </w:pPr>
            <w:r w:rsidRPr="006E4775">
              <w:rPr>
                <w:rFonts w:ascii="Garamond" w:hAnsi="Garamond"/>
                <w:sz w:val="16"/>
                <w:szCs w:val="16"/>
              </w:rPr>
              <w:t>28.704.947 (2021)</w:t>
            </w:r>
          </w:p>
        </w:tc>
        <w:tc>
          <w:tcPr>
            <w:tcW w:w="1417" w:type="dxa"/>
          </w:tcPr>
          <w:p w14:paraId="064C7520" w14:textId="77777777" w:rsidR="004566A6" w:rsidRPr="006E4775" w:rsidRDefault="004566A6" w:rsidP="004566A6">
            <w:pPr>
              <w:rPr>
                <w:rFonts w:ascii="Garamond" w:hAnsi="Garamond"/>
                <w:sz w:val="16"/>
                <w:szCs w:val="16"/>
              </w:rPr>
            </w:pPr>
            <w:r w:rsidRPr="006E4775">
              <w:rPr>
                <w:rFonts w:ascii="Garamond" w:hAnsi="Garamond"/>
                <w:sz w:val="16"/>
                <w:szCs w:val="16"/>
              </w:rPr>
              <w:t>10.953,71 (2021)</w:t>
            </w:r>
          </w:p>
        </w:tc>
        <w:tc>
          <w:tcPr>
            <w:tcW w:w="1417" w:type="dxa"/>
          </w:tcPr>
          <w:p w14:paraId="6A8DDAA6" w14:textId="77777777" w:rsidR="004566A6" w:rsidRPr="006E4775" w:rsidRDefault="004566A6" w:rsidP="004566A6">
            <w:pPr>
              <w:rPr>
                <w:rFonts w:ascii="Garamond" w:hAnsi="Garamond"/>
                <w:sz w:val="16"/>
                <w:szCs w:val="16"/>
              </w:rPr>
            </w:pPr>
            <w:r w:rsidRPr="006E4775">
              <w:rPr>
                <w:rFonts w:ascii="Garamond" w:hAnsi="Garamond"/>
                <w:sz w:val="16"/>
                <w:szCs w:val="16"/>
              </w:rPr>
              <w:t>11.541.683 (2021)</w:t>
            </w:r>
          </w:p>
        </w:tc>
        <w:tc>
          <w:tcPr>
            <w:tcW w:w="1559" w:type="dxa"/>
            <w:shd w:val="clear" w:color="auto" w:fill="F7CAAC" w:themeFill="accent2" w:themeFillTint="66"/>
          </w:tcPr>
          <w:p w14:paraId="5F0A0A0A" w14:textId="77777777" w:rsidR="004566A6" w:rsidRPr="006E4775" w:rsidRDefault="004566A6" w:rsidP="004566A6">
            <w:pPr>
              <w:rPr>
                <w:rFonts w:ascii="Garamond" w:hAnsi="Garamond"/>
                <w:sz w:val="16"/>
                <w:szCs w:val="16"/>
              </w:rPr>
            </w:pPr>
            <w:r w:rsidRPr="006E4775">
              <w:rPr>
                <w:rFonts w:ascii="Garamond" w:hAnsi="Garamond"/>
                <w:sz w:val="16"/>
                <w:szCs w:val="16"/>
              </w:rPr>
              <w:t>19.107.200 (2021</w:t>
            </w:r>
          </w:p>
        </w:tc>
      </w:tr>
      <w:tr w:rsidR="004566A6" w:rsidRPr="006E4775" w14:paraId="15A88447" w14:textId="77777777" w:rsidTr="004566A6">
        <w:tc>
          <w:tcPr>
            <w:tcW w:w="1413" w:type="dxa"/>
            <w:shd w:val="clear" w:color="auto" w:fill="E7E6E6" w:themeFill="background2"/>
          </w:tcPr>
          <w:p w14:paraId="1050514D" w14:textId="77777777" w:rsidR="004566A6" w:rsidRPr="006E4775" w:rsidRDefault="004566A6" w:rsidP="004566A6">
            <w:pPr>
              <w:rPr>
                <w:rFonts w:ascii="Garamond" w:hAnsi="Garamond"/>
                <w:iCs/>
                <w:sz w:val="16"/>
                <w:szCs w:val="16"/>
              </w:rPr>
            </w:pPr>
            <w:r w:rsidRPr="006E4775">
              <w:rPr>
                <w:rFonts w:ascii="Garamond" w:hAnsi="Garamond"/>
                <w:iCs/>
                <w:sz w:val="16"/>
                <w:szCs w:val="16"/>
              </w:rPr>
              <w:t>Porcentaje de NNAJ</w:t>
            </w:r>
          </w:p>
        </w:tc>
        <w:tc>
          <w:tcPr>
            <w:tcW w:w="1701" w:type="dxa"/>
          </w:tcPr>
          <w:p w14:paraId="23921E4A" w14:textId="495574D9" w:rsidR="004566A6" w:rsidRPr="006E4775" w:rsidRDefault="004566A6" w:rsidP="004566A6">
            <w:pPr>
              <w:rPr>
                <w:rFonts w:ascii="Garamond" w:hAnsi="Garamond"/>
                <w:sz w:val="16"/>
                <w:szCs w:val="16"/>
              </w:rPr>
            </w:pPr>
            <w:r w:rsidRPr="006E4775">
              <w:rPr>
                <w:rFonts w:ascii="Garamond" w:hAnsi="Garamond"/>
                <w:sz w:val="16"/>
                <w:szCs w:val="16"/>
              </w:rPr>
              <w:t>31,02% (2017)</w:t>
            </w:r>
          </w:p>
        </w:tc>
        <w:tc>
          <w:tcPr>
            <w:tcW w:w="1701" w:type="dxa"/>
          </w:tcPr>
          <w:p w14:paraId="7F997F5F" w14:textId="4D9E7C32" w:rsidR="004566A6" w:rsidRPr="006E4775" w:rsidRDefault="004566A6" w:rsidP="004566A6">
            <w:pPr>
              <w:rPr>
                <w:rFonts w:ascii="Garamond" w:hAnsi="Garamond"/>
                <w:sz w:val="16"/>
                <w:szCs w:val="16"/>
              </w:rPr>
            </w:pPr>
            <w:r w:rsidRPr="006E4775">
              <w:rPr>
                <w:rFonts w:ascii="Garamond" w:hAnsi="Garamond"/>
                <w:sz w:val="16"/>
                <w:szCs w:val="16"/>
              </w:rPr>
              <w:t>29% (2022)</w:t>
            </w:r>
          </w:p>
        </w:tc>
        <w:tc>
          <w:tcPr>
            <w:tcW w:w="1701" w:type="dxa"/>
          </w:tcPr>
          <w:p w14:paraId="3382057B" w14:textId="4DE363DA" w:rsidR="004566A6" w:rsidRPr="006E4775" w:rsidRDefault="004566A6" w:rsidP="004566A6">
            <w:pPr>
              <w:rPr>
                <w:rFonts w:ascii="Garamond" w:hAnsi="Garamond"/>
                <w:sz w:val="16"/>
                <w:szCs w:val="16"/>
              </w:rPr>
            </w:pPr>
            <w:r w:rsidRPr="006E4775">
              <w:rPr>
                <w:rFonts w:ascii="Garamond" w:hAnsi="Garamond"/>
                <w:sz w:val="16"/>
                <w:szCs w:val="16"/>
              </w:rPr>
              <w:t>25% (2012)</w:t>
            </w:r>
          </w:p>
        </w:tc>
        <w:tc>
          <w:tcPr>
            <w:tcW w:w="1701" w:type="dxa"/>
          </w:tcPr>
          <w:p w14:paraId="34B335F3" w14:textId="4786DDC7" w:rsidR="004566A6" w:rsidRPr="006E4775" w:rsidRDefault="004566A6" w:rsidP="004566A6">
            <w:pPr>
              <w:rPr>
                <w:rFonts w:ascii="Garamond" w:hAnsi="Garamond"/>
                <w:sz w:val="16"/>
                <w:szCs w:val="16"/>
              </w:rPr>
            </w:pPr>
            <w:r w:rsidRPr="006E4775">
              <w:rPr>
                <w:rFonts w:ascii="Garamond" w:hAnsi="Garamond"/>
                <w:sz w:val="16"/>
                <w:szCs w:val="16"/>
              </w:rPr>
              <w:t>35% (2021)</w:t>
            </w:r>
          </w:p>
        </w:tc>
        <w:tc>
          <w:tcPr>
            <w:tcW w:w="1417" w:type="dxa"/>
          </w:tcPr>
          <w:p w14:paraId="1940A823" w14:textId="77777777" w:rsidR="004566A6" w:rsidRPr="006E4775" w:rsidRDefault="004566A6" w:rsidP="004566A6">
            <w:pPr>
              <w:rPr>
                <w:rFonts w:ascii="Garamond" w:hAnsi="Garamond"/>
                <w:sz w:val="16"/>
                <w:szCs w:val="16"/>
              </w:rPr>
            </w:pPr>
            <w:r w:rsidRPr="006E4775">
              <w:rPr>
                <w:rFonts w:ascii="Garamond" w:hAnsi="Garamond"/>
                <w:sz w:val="16"/>
                <w:szCs w:val="16"/>
              </w:rPr>
              <w:t xml:space="preserve">26,5% (2019). </w:t>
            </w:r>
          </w:p>
        </w:tc>
        <w:tc>
          <w:tcPr>
            <w:tcW w:w="1417" w:type="dxa"/>
          </w:tcPr>
          <w:p w14:paraId="25C7496F" w14:textId="77777777" w:rsidR="004566A6" w:rsidRPr="006E4775" w:rsidRDefault="004566A6" w:rsidP="004566A6">
            <w:pPr>
              <w:rPr>
                <w:rFonts w:ascii="Garamond" w:hAnsi="Garamond"/>
                <w:sz w:val="16"/>
                <w:szCs w:val="16"/>
              </w:rPr>
            </w:pPr>
            <w:r w:rsidRPr="006E4775">
              <w:rPr>
                <w:rFonts w:ascii="Garamond" w:hAnsi="Garamond"/>
                <w:sz w:val="16"/>
                <w:szCs w:val="16"/>
              </w:rPr>
              <w:t>46% (2012)</w:t>
            </w:r>
          </w:p>
        </w:tc>
        <w:tc>
          <w:tcPr>
            <w:tcW w:w="1559" w:type="dxa"/>
            <w:shd w:val="clear" w:color="auto" w:fill="F7CAAC" w:themeFill="accent2" w:themeFillTint="66"/>
          </w:tcPr>
          <w:p w14:paraId="6958FB2B" w14:textId="77777777" w:rsidR="004566A6" w:rsidRPr="006E4775" w:rsidRDefault="004566A6" w:rsidP="004566A6">
            <w:pPr>
              <w:rPr>
                <w:rFonts w:ascii="Garamond" w:hAnsi="Garamond"/>
                <w:sz w:val="16"/>
                <w:szCs w:val="16"/>
              </w:rPr>
            </w:pPr>
            <w:r w:rsidRPr="006E4775">
              <w:rPr>
                <w:rFonts w:ascii="Garamond" w:hAnsi="Garamond"/>
                <w:sz w:val="16"/>
                <w:szCs w:val="16"/>
              </w:rPr>
              <w:t>24% (2017)</w:t>
            </w:r>
          </w:p>
        </w:tc>
      </w:tr>
      <w:tr w:rsidR="004566A6" w:rsidRPr="006E4775" w14:paraId="0523D293" w14:textId="77777777" w:rsidTr="004566A6">
        <w:trPr>
          <w:trHeight w:val="58"/>
        </w:trPr>
        <w:tc>
          <w:tcPr>
            <w:tcW w:w="1413" w:type="dxa"/>
            <w:shd w:val="clear" w:color="auto" w:fill="E7E6E6" w:themeFill="background2"/>
          </w:tcPr>
          <w:p w14:paraId="7CE76198" w14:textId="77777777" w:rsidR="004566A6" w:rsidRPr="006E4775" w:rsidRDefault="004566A6" w:rsidP="004566A6">
            <w:pPr>
              <w:rPr>
                <w:rFonts w:ascii="Garamond" w:hAnsi="Garamond"/>
                <w:iCs/>
                <w:sz w:val="16"/>
                <w:szCs w:val="16"/>
              </w:rPr>
            </w:pPr>
            <w:r w:rsidRPr="006E4775">
              <w:rPr>
                <w:rFonts w:ascii="Garamond" w:hAnsi="Garamond"/>
                <w:iCs/>
                <w:sz w:val="16"/>
                <w:szCs w:val="16"/>
              </w:rPr>
              <w:t>Idioma</w:t>
            </w:r>
          </w:p>
        </w:tc>
        <w:tc>
          <w:tcPr>
            <w:tcW w:w="1701" w:type="dxa"/>
          </w:tcPr>
          <w:p w14:paraId="2E8E5D93" w14:textId="6E708345" w:rsidR="004566A6" w:rsidRPr="006E4775" w:rsidRDefault="004566A6" w:rsidP="004566A6">
            <w:pPr>
              <w:rPr>
                <w:rFonts w:ascii="Garamond" w:hAnsi="Garamond"/>
                <w:sz w:val="16"/>
                <w:szCs w:val="16"/>
              </w:rPr>
            </w:pPr>
            <w:r w:rsidRPr="006E4775">
              <w:rPr>
                <w:rFonts w:ascii="Garamond" w:hAnsi="Garamond"/>
                <w:sz w:val="16"/>
                <w:szCs w:val="16"/>
              </w:rPr>
              <w:t>Español, junto a las lenguas y dialectos de los grupos étnicos</w:t>
            </w:r>
          </w:p>
        </w:tc>
        <w:tc>
          <w:tcPr>
            <w:tcW w:w="1701" w:type="dxa"/>
          </w:tcPr>
          <w:p w14:paraId="435F1417" w14:textId="540F60EE" w:rsidR="004566A6" w:rsidRPr="006E4775" w:rsidRDefault="004566A6" w:rsidP="004566A6">
            <w:pPr>
              <w:rPr>
                <w:rFonts w:ascii="Garamond" w:hAnsi="Garamond"/>
                <w:sz w:val="16"/>
                <w:szCs w:val="16"/>
              </w:rPr>
            </w:pPr>
            <w:r w:rsidRPr="006E4775">
              <w:rPr>
                <w:rFonts w:ascii="Garamond" w:hAnsi="Garamond"/>
                <w:sz w:val="16"/>
                <w:szCs w:val="16"/>
              </w:rPr>
              <w:t>Castellano, quechua, aimara y las demás lenguas aborígenes, según la ley</w:t>
            </w:r>
            <w:r w:rsidRPr="006E4775">
              <w:rPr>
                <w:rStyle w:val="Refdenotaalpie"/>
                <w:rFonts w:ascii="Garamond" w:hAnsi="Garamond"/>
              </w:rPr>
              <w:footnoteReference w:id="5"/>
            </w:r>
          </w:p>
        </w:tc>
        <w:tc>
          <w:tcPr>
            <w:tcW w:w="1701" w:type="dxa"/>
          </w:tcPr>
          <w:p w14:paraId="44B592B0" w14:textId="277A9330" w:rsidR="004566A6" w:rsidRPr="006E4775" w:rsidRDefault="004566A6" w:rsidP="004566A6">
            <w:pPr>
              <w:rPr>
                <w:rFonts w:ascii="Garamond" w:hAnsi="Garamond"/>
                <w:sz w:val="16"/>
                <w:szCs w:val="16"/>
              </w:rPr>
            </w:pPr>
            <w:r w:rsidRPr="006E4775">
              <w:rPr>
                <w:rFonts w:ascii="Garamond" w:hAnsi="Garamond"/>
                <w:sz w:val="16"/>
                <w:szCs w:val="16"/>
              </w:rPr>
              <w:t xml:space="preserve">Castellano, </w:t>
            </w:r>
            <w:proofErr w:type="spellStart"/>
            <w:r w:rsidRPr="006E4775">
              <w:rPr>
                <w:rFonts w:ascii="Garamond" w:hAnsi="Garamond"/>
                <w:sz w:val="16"/>
                <w:szCs w:val="16"/>
              </w:rPr>
              <w:t>aymara</w:t>
            </w:r>
            <w:proofErr w:type="spellEnd"/>
            <w:r w:rsidRPr="006E4775">
              <w:rPr>
                <w:rFonts w:ascii="Garamond" w:hAnsi="Garamond"/>
                <w:sz w:val="16"/>
                <w:szCs w:val="16"/>
              </w:rPr>
              <w:t>, quechua, y todos los idiomas de las naciones y pueblos indígena originario campesinos</w:t>
            </w:r>
            <w:r w:rsidRPr="006E4775">
              <w:rPr>
                <w:rStyle w:val="Refdenotaalpie"/>
                <w:rFonts w:ascii="Garamond" w:hAnsi="Garamond"/>
              </w:rPr>
              <w:footnoteReference w:id="6"/>
            </w:r>
            <w:r w:rsidRPr="006E4775">
              <w:rPr>
                <w:rFonts w:ascii="Garamond" w:hAnsi="Garamond"/>
                <w:sz w:val="16"/>
                <w:szCs w:val="16"/>
              </w:rPr>
              <w:t xml:space="preserve"> </w:t>
            </w:r>
          </w:p>
        </w:tc>
        <w:tc>
          <w:tcPr>
            <w:tcW w:w="1701" w:type="dxa"/>
          </w:tcPr>
          <w:p w14:paraId="02C2A5A8" w14:textId="1BF6FA9B" w:rsidR="004566A6" w:rsidRPr="006E4775" w:rsidRDefault="004566A6" w:rsidP="004566A6">
            <w:pPr>
              <w:rPr>
                <w:rFonts w:ascii="Garamond" w:hAnsi="Garamond"/>
                <w:sz w:val="16"/>
                <w:szCs w:val="16"/>
              </w:rPr>
            </w:pPr>
            <w:r w:rsidRPr="006E4775">
              <w:rPr>
                <w:rFonts w:ascii="Garamond" w:hAnsi="Garamond"/>
                <w:sz w:val="16"/>
                <w:szCs w:val="16"/>
              </w:rPr>
              <w:t>Español-castellano, yanomami, el pemón y panare</w:t>
            </w:r>
          </w:p>
        </w:tc>
        <w:tc>
          <w:tcPr>
            <w:tcW w:w="1417" w:type="dxa"/>
          </w:tcPr>
          <w:p w14:paraId="0972DA79" w14:textId="77777777" w:rsidR="004566A6" w:rsidRPr="006E4775" w:rsidRDefault="004566A6" w:rsidP="004566A6">
            <w:pPr>
              <w:rPr>
                <w:rFonts w:ascii="Garamond" w:hAnsi="Garamond"/>
                <w:sz w:val="16"/>
                <w:szCs w:val="16"/>
              </w:rPr>
            </w:pPr>
            <w:r w:rsidRPr="006E4775">
              <w:rPr>
                <w:rFonts w:ascii="Garamond" w:hAnsi="Garamond"/>
                <w:sz w:val="16"/>
                <w:szCs w:val="16"/>
              </w:rPr>
              <w:t>Español</w:t>
            </w:r>
          </w:p>
        </w:tc>
        <w:tc>
          <w:tcPr>
            <w:tcW w:w="1417" w:type="dxa"/>
          </w:tcPr>
          <w:p w14:paraId="28922004" w14:textId="77777777" w:rsidR="004566A6" w:rsidRPr="006E4775" w:rsidRDefault="004566A6" w:rsidP="004566A6">
            <w:pPr>
              <w:rPr>
                <w:rFonts w:ascii="Garamond" w:hAnsi="Garamond"/>
                <w:sz w:val="16"/>
                <w:szCs w:val="16"/>
              </w:rPr>
            </w:pPr>
            <w:proofErr w:type="spellStart"/>
            <w:r w:rsidRPr="006E4775">
              <w:rPr>
                <w:rFonts w:ascii="Garamond" w:hAnsi="Garamond"/>
                <w:sz w:val="16"/>
                <w:szCs w:val="16"/>
              </w:rPr>
              <w:t>Kreyòl</w:t>
            </w:r>
            <w:proofErr w:type="spellEnd"/>
            <w:r w:rsidRPr="006E4775">
              <w:rPr>
                <w:rFonts w:ascii="Garamond" w:hAnsi="Garamond"/>
                <w:sz w:val="16"/>
                <w:szCs w:val="16"/>
              </w:rPr>
              <w:t xml:space="preserve"> o criollo haitiano y francés</w:t>
            </w:r>
          </w:p>
        </w:tc>
        <w:tc>
          <w:tcPr>
            <w:tcW w:w="1559" w:type="dxa"/>
            <w:shd w:val="clear" w:color="auto" w:fill="F7CAAC" w:themeFill="accent2" w:themeFillTint="66"/>
          </w:tcPr>
          <w:p w14:paraId="08E2F028" w14:textId="77777777" w:rsidR="004566A6" w:rsidRPr="006E4775" w:rsidRDefault="004566A6" w:rsidP="004566A6">
            <w:pPr>
              <w:rPr>
                <w:rFonts w:ascii="Garamond" w:hAnsi="Garamond"/>
                <w:sz w:val="16"/>
                <w:szCs w:val="16"/>
              </w:rPr>
            </w:pPr>
            <w:r w:rsidRPr="006E4775">
              <w:rPr>
                <w:rFonts w:ascii="Garamond" w:hAnsi="Garamond"/>
                <w:sz w:val="16"/>
                <w:szCs w:val="16"/>
              </w:rPr>
              <w:t xml:space="preserve">Castellano, aimara, quechua, rapa </w:t>
            </w:r>
            <w:proofErr w:type="spellStart"/>
            <w:r w:rsidRPr="006E4775">
              <w:rPr>
                <w:rFonts w:ascii="Garamond" w:hAnsi="Garamond"/>
                <w:sz w:val="16"/>
                <w:szCs w:val="16"/>
              </w:rPr>
              <w:t>nui</w:t>
            </w:r>
            <w:proofErr w:type="spellEnd"/>
            <w:r w:rsidRPr="006E4775">
              <w:rPr>
                <w:rFonts w:ascii="Garamond" w:hAnsi="Garamond"/>
                <w:sz w:val="16"/>
                <w:szCs w:val="16"/>
              </w:rPr>
              <w:t xml:space="preserve">, kawésqar, yagán y </w:t>
            </w:r>
            <w:proofErr w:type="spellStart"/>
            <w:r w:rsidRPr="006E4775">
              <w:rPr>
                <w:rFonts w:ascii="Garamond" w:hAnsi="Garamond"/>
                <w:sz w:val="16"/>
                <w:szCs w:val="16"/>
              </w:rPr>
              <w:t>mapuzugun</w:t>
            </w:r>
            <w:proofErr w:type="spellEnd"/>
          </w:p>
        </w:tc>
      </w:tr>
      <w:tr w:rsidR="004566A6" w:rsidRPr="006E4775" w14:paraId="4D8C55B8" w14:textId="77777777" w:rsidTr="004566A6">
        <w:tc>
          <w:tcPr>
            <w:tcW w:w="1413" w:type="dxa"/>
            <w:shd w:val="clear" w:color="auto" w:fill="E7E6E6" w:themeFill="background2"/>
          </w:tcPr>
          <w:p w14:paraId="4A52130A" w14:textId="77777777" w:rsidR="004566A6" w:rsidRPr="006E4775" w:rsidRDefault="004566A6" w:rsidP="004566A6">
            <w:pPr>
              <w:rPr>
                <w:rFonts w:ascii="Garamond" w:hAnsi="Garamond"/>
                <w:sz w:val="16"/>
                <w:szCs w:val="16"/>
              </w:rPr>
            </w:pPr>
            <w:r w:rsidRPr="006E4775">
              <w:rPr>
                <w:rFonts w:ascii="Garamond" w:hAnsi="Garamond"/>
                <w:iCs/>
                <w:sz w:val="16"/>
                <w:szCs w:val="16"/>
              </w:rPr>
              <w:t>PIB</w:t>
            </w:r>
            <w:r w:rsidRPr="006E4775">
              <w:rPr>
                <w:rFonts w:ascii="Garamond" w:hAnsi="Garamond"/>
                <w:i/>
                <w:sz w:val="16"/>
                <w:szCs w:val="16"/>
              </w:rPr>
              <w:t xml:space="preserve"> (miles de millones de dólares)</w:t>
            </w:r>
          </w:p>
        </w:tc>
        <w:tc>
          <w:tcPr>
            <w:tcW w:w="1701" w:type="dxa"/>
          </w:tcPr>
          <w:p w14:paraId="2ADAD4C6" w14:textId="6D68D11F" w:rsidR="004566A6" w:rsidRPr="006E4775" w:rsidRDefault="004566A6" w:rsidP="004566A6">
            <w:pPr>
              <w:rPr>
                <w:rFonts w:ascii="Garamond" w:hAnsi="Garamond"/>
                <w:sz w:val="16"/>
                <w:szCs w:val="16"/>
              </w:rPr>
            </w:pPr>
            <w:r w:rsidRPr="006E4775">
              <w:rPr>
                <w:rFonts w:ascii="Garamond" w:hAnsi="Garamond"/>
                <w:sz w:val="16"/>
                <w:szCs w:val="16"/>
              </w:rPr>
              <w:t>US$ 314,32 (2021)</w:t>
            </w:r>
          </w:p>
        </w:tc>
        <w:tc>
          <w:tcPr>
            <w:tcW w:w="1701" w:type="dxa"/>
          </w:tcPr>
          <w:p w14:paraId="5F7EB6A7" w14:textId="2B36D925" w:rsidR="004566A6" w:rsidRPr="006E4775" w:rsidRDefault="004566A6" w:rsidP="004566A6">
            <w:pPr>
              <w:rPr>
                <w:rFonts w:ascii="Garamond" w:hAnsi="Garamond"/>
                <w:sz w:val="16"/>
                <w:szCs w:val="16"/>
              </w:rPr>
            </w:pPr>
            <w:r w:rsidRPr="006E4775">
              <w:rPr>
                <w:rFonts w:ascii="Garamond" w:hAnsi="Garamond"/>
                <w:sz w:val="16"/>
                <w:szCs w:val="16"/>
              </w:rPr>
              <w:t>US$ 223,25 (2021)</w:t>
            </w:r>
          </w:p>
        </w:tc>
        <w:tc>
          <w:tcPr>
            <w:tcW w:w="1701" w:type="dxa"/>
          </w:tcPr>
          <w:p w14:paraId="370668CE" w14:textId="15476528" w:rsidR="004566A6" w:rsidRPr="006E4775" w:rsidRDefault="004566A6" w:rsidP="004566A6">
            <w:pPr>
              <w:rPr>
                <w:rFonts w:ascii="Garamond" w:hAnsi="Garamond"/>
                <w:sz w:val="16"/>
                <w:szCs w:val="16"/>
              </w:rPr>
            </w:pPr>
            <w:r w:rsidRPr="006E4775">
              <w:rPr>
                <w:rFonts w:ascii="Garamond" w:hAnsi="Garamond"/>
                <w:sz w:val="16"/>
                <w:szCs w:val="16"/>
              </w:rPr>
              <w:t>US$ 40,41 (2021)</w:t>
            </w:r>
          </w:p>
        </w:tc>
        <w:tc>
          <w:tcPr>
            <w:tcW w:w="1701" w:type="dxa"/>
          </w:tcPr>
          <w:p w14:paraId="108ADC9F" w14:textId="6CF8C195" w:rsidR="004566A6" w:rsidRPr="006E4775" w:rsidRDefault="004566A6" w:rsidP="004566A6">
            <w:pPr>
              <w:rPr>
                <w:rFonts w:ascii="Garamond" w:hAnsi="Garamond"/>
                <w:sz w:val="16"/>
                <w:szCs w:val="16"/>
              </w:rPr>
            </w:pPr>
            <w:r w:rsidRPr="006E4775">
              <w:rPr>
                <w:rFonts w:ascii="Garamond" w:hAnsi="Garamond"/>
                <w:sz w:val="16"/>
                <w:szCs w:val="16"/>
              </w:rPr>
              <w:t>US$482,36 (2021)</w:t>
            </w:r>
          </w:p>
        </w:tc>
        <w:tc>
          <w:tcPr>
            <w:tcW w:w="1417" w:type="dxa"/>
          </w:tcPr>
          <w:p w14:paraId="30AFABDF" w14:textId="77777777" w:rsidR="004566A6" w:rsidRPr="006E4775" w:rsidRDefault="004566A6" w:rsidP="004566A6">
            <w:pPr>
              <w:rPr>
                <w:rFonts w:ascii="Garamond" w:hAnsi="Garamond"/>
                <w:sz w:val="16"/>
                <w:szCs w:val="16"/>
              </w:rPr>
            </w:pPr>
            <w:r w:rsidRPr="006E4775">
              <w:rPr>
                <w:rFonts w:ascii="Garamond" w:hAnsi="Garamond"/>
                <w:sz w:val="16"/>
                <w:szCs w:val="16"/>
              </w:rPr>
              <w:t>US$ 94,2 (2021)</w:t>
            </w:r>
          </w:p>
        </w:tc>
        <w:tc>
          <w:tcPr>
            <w:tcW w:w="1417" w:type="dxa"/>
          </w:tcPr>
          <w:p w14:paraId="45032F69" w14:textId="77777777" w:rsidR="004566A6" w:rsidRPr="006E4775" w:rsidRDefault="004566A6" w:rsidP="004566A6">
            <w:pPr>
              <w:rPr>
                <w:rFonts w:ascii="Garamond" w:hAnsi="Garamond"/>
                <w:sz w:val="16"/>
                <w:szCs w:val="16"/>
              </w:rPr>
            </w:pPr>
            <w:r w:rsidRPr="006E4775">
              <w:rPr>
                <w:rFonts w:ascii="Garamond" w:hAnsi="Garamond"/>
                <w:sz w:val="16"/>
                <w:szCs w:val="16"/>
              </w:rPr>
              <w:t>US$ 20,94 (2021)</w:t>
            </w:r>
          </w:p>
        </w:tc>
        <w:tc>
          <w:tcPr>
            <w:tcW w:w="1559" w:type="dxa"/>
            <w:shd w:val="clear" w:color="auto" w:fill="F7CAAC" w:themeFill="accent2" w:themeFillTint="66"/>
          </w:tcPr>
          <w:p w14:paraId="263EAD55" w14:textId="77777777" w:rsidR="004566A6" w:rsidRPr="006E4775" w:rsidRDefault="004566A6" w:rsidP="004566A6">
            <w:pPr>
              <w:rPr>
                <w:rFonts w:ascii="Garamond" w:hAnsi="Garamond"/>
                <w:sz w:val="16"/>
                <w:szCs w:val="16"/>
              </w:rPr>
            </w:pPr>
            <w:r w:rsidRPr="006E4775">
              <w:rPr>
                <w:rFonts w:ascii="Garamond" w:hAnsi="Garamond"/>
                <w:sz w:val="16"/>
                <w:szCs w:val="16"/>
              </w:rPr>
              <w:t>US$ 317,06 (2021)</w:t>
            </w:r>
          </w:p>
        </w:tc>
      </w:tr>
      <w:tr w:rsidR="004566A6" w:rsidRPr="006E4775" w14:paraId="61FFF88D" w14:textId="77777777" w:rsidTr="004566A6">
        <w:tc>
          <w:tcPr>
            <w:tcW w:w="1413" w:type="dxa"/>
            <w:shd w:val="clear" w:color="auto" w:fill="E7E6E6" w:themeFill="background2"/>
          </w:tcPr>
          <w:p w14:paraId="1BC14465" w14:textId="77777777" w:rsidR="004566A6" w:rsidRPr="006E4775" w:rsidRDefault="004566A6" w:rsidP="004566A6">
            <w:pPr>
              <w:rPr>
                <w:rFonts w:ascii="Garamond" w:hAnsi="Garamond"/>
                <w:sz w:val="16"/>
                <w:szCs w:val="16"/>
              </w:rPr>
            </w:pPr>
            <w:r w:rsidRPr="006E4775">
              <w:rPr>
                <w:rFonts w:ascii="Garamond" w:hAnsi="Garamond"/>
                <w:sz w:val="16"/>
                <w:szCs w:val="16"/>
              </w:rPr>
              <w:t>PIB per cápita</w:t>
            </w:r>
          </w:p>
        </w:tc>
        <w:tc>
          <w:tcPr>
            <w:tcW w:w="1701" w:type="dxa"/>
          </w:tcPr>
          <w:p w14:paraId="25C6C93F" w14:textId="692B7132" w:rsidR="004566A6" w:rsidRPr="006E4775" w:rsidRDefault="004566A6" w:rsidP="004566A6">
            <w:pPr>
              <w:rPr>
                <w:rFonts w:ascii="Garamond" w:hAnsi="Garamond"/>
                <w:sz w:val="16"/>
                <w:szCs w:val="16"/>
              </w:rPr>
            </w:pPr>
            <w:r w:rsidRPr="006E4775">
              <w:rPr>
                <w:rFonts w:ascii="Garamond" w:hAnsi="Garamond"/>
                <w:sz w:val="16"/>
                <w:szCs w:val="16"/>
              </w:rPr>
              <w:t>US$ 6.131,2 (2021)</w:t>
            </w:r>
          </w:p>
        </w:tc>
        <w:tc>
          <w:tcPr>
            <w:tcW w:w="1701" w:type="dxa"/>
          </w:tcPr>
          <w:p w14:paraId="6A115AF9" w14:textId="72351F4E" w:rsidR="004566A6" w:rsidRPr="006E4775" w:rsidRDefault="004566A6" w:rsidP="004566A6">
            <w:pPr>
              <w:rPr>
                <w:rFonts w:ascii="Garamond" w:hAnsi="Garamond"/>
                <w:sz w:val="16"/>
                <w:szCs w:val="16"/>
              </w:rPr>
            </w:pPr>
            <w:r w:rsidRPr="006E4775">
              <w:rPr>
                <w:rFonts w:ascii="Garamond" w:hAnsi="Garamond"/>
                <w:sz w:val="16"/>
                <w:szCs w:val="16"/>
              </w:rPr>
              <w:t>US$ 6.692,2 (2021)</w:t>
            </w:r>
          </w:p>
        </w:tc>
        <w:tc>
          <w:tcPr>
            <w:tcW w:w="1701" w:type="dxa"/>
          </w:tcPr>
          <w:p w14:paraId="7B2E80CA" w14:textId="6F007E6E" w:rsidR="004566A6" w:rsidRPr="006E4775" w:rsidRDefault="004566A6" w:rsidP="004566A6">
            <w:pPr>
              <w:rPr>
                <w:rFonts w:ascii="Garamond" w:hAnsi="Garamond"/>
                <w:sz w:val="16"/>
                <w:szCs w:val="16"/>
              </w:rPr>
            </w:pPr>
            <w:r w:rsidRPr="006E4775">
              <w:rPr>
                <w:rFonts w:ascii="Garamond" w:hAnsi="Garamond"/>
                <w:sz w:val="16"/>
                <w:szCs w:val="16"/>
              </w:rPr>
              <w:t>US$ 3.414,9 (2021)</w:t>
            </w:r>
          </w:p>
        </w:tc>
        <w:tc>
          <w:tcPr>
            <w:tcW w:w="1701" w:type="dxa"/>
          </w:tcPr>
          <w:p w14:paraId="07F1908F" w14:textId="1E275097" w:rsidR="004566A6" w:rsidRPr="006E4775" w:rsidRDefault="004566A6" w:rsidP="004566A6">
            <w:pPr>
              <w:rPr>
                <w:rFonts w:ascii="Garamond" w:hAnsi="Garamond"/>
                <w:sz w:val="16"/>
                <w:szCs w:val="16"/>
              </w:rPr>
            </w:pPr>
            <w:r w:rsidRPr="006E4775">
              <w:rPr>
                <w:rFonts w:ascii="Garamond" w:hAnsi="Garamond"/>
                <w:sz w:val="16"/>
                <w:szCs w:val="16"/>
              </w:rPr>
              <w:t>US$ 16.055,6 (2021)</w:t>
            </w:r>
          </w:p>
        </w:tc>
        <w:tc>
          <w:tcPr>
            <w:tcW w:w="1417" w:type="dxa"/>
          </w:tcPr>
          <w:p w14:paraId="4D6A73D5" w14:textId="77777777" w:rsidR="004566A6" w:rsidRPr="006E4775" w:rsidRDefault="004566A6" w:rsidP="004566A6">
            <w:pPr>
              <w:rPr>
                <w:rFonts w:ascii="Garamond" w:hAnsi="Garamond"/>
                <w:sz w:val="16"/>
                <w:szCs w:val="16"/>
              </w:rPr>
            </w:pPr>
            <w:r w:rsidRPr="006E4775">
              <w:rPr>
                <w:rFonts w:ascii="Garamond" w:hAnsi="Garamond"/>
                <w:sz w:val="16"/>
                <w:szCs w:val="16"/>
              </w:rPr>
              <w:t>US$8.603,8 (2021)</w:t>
            </w:r>
          </w:p>
        </w:tc>
        <w:tc>
          <w:tcPr>
            <w:tcW w:w="1417" w:type="dxa"/>
          </w:tcPr>
          <w:p w14:paraId="22AFBB2F" w14:textId="77777777" w:rsidR="004566A6" w:rsidRPr="006E4775" w:rsidRDefault="004566A6" w:rsidP="004566A6">
            <w:pPr>
              <w:rPr>
                <w:rFonts w:ascii="Garamond" w:hAnsi="Garamond"/>
                <w:sz w:val="16"/>
                <w:szCs w:val="16"/>
              </w:rPr>
            </w:pPr>
            <w:r w:rsidRPr="006E4775">
              <w:rPr>
                <w:rFonts w:ascii="Garamond" w:hAnsi="Garamond"/>
                <w:sz w:val="16"/>
                <w:szCs w:val="16"/>
              </w:rPr>
              <w:t>US$ 1.814,7 (2021)</w:t>
            </w:r>
          </w:p>
        </w:tc>
        <w:tc>
          <w:tcPr>
            <w:tcW w:w="1559" w:type="dxa"/>
            <w:shd w:val="clear" w:color="auto" w:fill="F7CAAC" w:themeFill="accent2" w:themeFillTint="66"/>
          </w:tcPr>
          <w:p w14:paraId="4AACCB4C" w14:textId="77777777" w:rsidR="004566A6" w:rsidRPr="006E4775" w:rsidRDefault="004566A6" w:rsidP="004566A6">
            <w:pPr>
              <w:rPr>
                <w:rFonts w:ascii="Garamond" w:hAnsi="Garamond"/>
                <w:sz w:val="16"/>
                <w:szCs w:val="16"/>
              </w:rPr>
            </w:pPr>
            <w:r w:rsidRPr="006E4775">
              <w:rPr>
                <w:rFonts w:ascii="Garamond" w:hAnsi="Garamond"/>
                <w:sz w:val="16"/>
                <w:szCs w:val="16"/>
              </w:rPr>
              <w:t>US$ 16.502,8 (2021)</w:t>
            </w:r>
          </w:p>
        </w:tc>
      </w:tr>
      <w:tr w:rsidR="004566A6" w:rsidRPr="006E4775" w14:paraId="078C581C" w14:textId="77777777" w:rsidTr="004566A6">
        <w:tc>
          <w:tcPr>
            <w:tcW w:w="1413" w:type="dxa"/>
            <w:shd w:val="clear" w:color="auto" w:fill="E7E6E6" w:themeFill="background2"/>
          </w:tcPr>
          <w:p w14:paraId="33EF202D" w14:textId="77777777" w:rsidR="004566A6" w:rsidRPr="006E4775" w:rsidRDefault="004566A6" w:rsidP="004566A6">
            <w:pPr>
              <w:rPr>
                <w:rFonts w:ascii="Garamond" w:hAnsi="Garamond"/>
                <w:iCs/>
                <w:sz w:val="16"/>
                <w:szCs w:val="16"/>
              </w:rPr>
            </w:pPr>
            <w:r w:rsidRPr="006E4775">
              <w:rPr>
                <w:rFonts w:ascii="Garamond" w:hAnsi="Garamond"/>
                <w:iCs/>
                <w:sz w:val="16"/>
                <w:szCs w:val="16"/>
              </w:rPr>
              <w:t>Nivel de pobreza</w:t>
            </w:r>
          </w:p>
        </w:tc>
        <w:tc>
          <w:tcPr>
            <w:tcW w:w="1701" w:type="dxa"/>
          </w:tcPr>
          <w:p w14:paraId="2018CDE3" w14:textId="42A26A66" w:rsidR="004566A6" w:rsidRPr="006E4775" w:rsidRDefault="004566A6" w:rsidP="004566A6">
            <w:pPr>
              <w:rPr>
                <w:rFonts w:ascii="Garamond" w:hAnsi="Garamond"/>
                <w:sz w:val="16"/>
                <w:szCs w:val="16"/>
              </w:rPr>
            </w:pPr>
            <w:r w:rsidRPr="006E4775">
              <w:rPr>
                <w:rFonts w:ascii="Garamond" w:hAnsi="Garamond"/>
                <w:sz w:val="16"/>
                <w:szCs w:val="16"/>
              </w:rPr>
              <w:t>10,3% (2020)</w:t>
            </w:r>
          </w:p>
        </w:tc>
        <w:tc>
          <w:tcPr>
            <w:tcW w:w="1701" w:type="dxa"/>
          </w:tcPr>
          <w:p w14:paraId="2C48B9A7" w14:textId="7AFEDC62" w:rsidR="004566A6" w:rsidRPr="006E4775" w:rsidRDefault="004566A6" w:rsidP="004566A6">
            <w:pPr>
              <w:rPr>
                <w:rFonts w:ascii="Garamond" w:hAnsi="Garamond"/>
                <w:sz w:val="16"/>
                <w:szCs w:val="16"/>
              </w:rPr>
            </w:pPr>
            <w:r w:rsidRPr="006E4775">
              <w:rPr>
                <w:rFonts w:ascii="Garamond" w:hAnsi="Garamond"/>
                <w:sz w:val="16"/>
                <w:szCs w:val="16"/>
              </w:rPr>
              <w:t>4,4% (2020)</w:t>
            </w:r>
          </w:p>
        </w:tc>
        <w:tc>
          <w:tcPr>
            <w:tcW w:w="1701" w:type="dxa"/>
          </w:tcPr>
          <w:p w14:paraId="6EF9E13E" w14:textId="00FF2612" w:rsidR="004566A6" w:rsidRPr="006E4775" w:rsidRDefault="004566A6" w:rsidP="004566A6">
            <w:pPr>
              <w:rPr>
                <w:rFonts w:ascii="Garamond" w:hAnsi="Garamond"/>
                <w:sz w:val="16"/>
                <w:szCs w:val="16"/>
              </w:rPr>
            </w:pPr>
            <w:r w:rsidRPr="006E4775">
              <w:rPr>
                <w:rFonts w:ascii="Garamond" w:hAnsi="Garamond"/>
                <w:sz w:val="16"/>
                <w:szCs w:val="16"/>
              </w:rPr>
              <w:t>4,4 % (2020)</w:t>
            </w:r>
          </w:p>
        </w:tc>
        <w:tc>
          <w:tcPr>
            <w:tcW w:w="1701" w:type="dxa"/>
          </w:tcPr>
          <w:p w14:paraId="0C578948" w14:textId="654B7437" w:rsidR="004566A6" w:rsidRPr="006E4775" w:rsidRDefault="004566A6" w:rsidP="004566A6">
            <w:pPr>
              <w:rPr>
                <w:rFonts w:ascii="Garamond" w:hAnsi="Garamond"/>
                <w:sz w:val="16"/>
                <w:szCs w:val="16"/>
              </w:rPr>
            </w:pPr>
            <w:r w:rsidRPr="006E4775">
              <w:rPr>
                <w:rFonts w:ascii="Garamond" w:hAnsi="Garamond"/>
                <w:sz w:val="16"/>
                <w:szCs w:val="16"/>
              </w:rPr>
              <w:t>6,7% (2020)</w:t>
            </w:r>
          </w:p>
        </w:tc>
        <w:tc>
          <w:tcPr>
            <w:tcW w:w="1417" w:type="dxa"/>
          </w:tcPr>
          <w:p w14:paraId="08AFB74E" w14:textId="77777777" w:rsidR="004566A6" w:rsidRPr="006E4775" w:rsidRDefault="004566A6" w:rsidP="004566A6">
            <w:pPr>
              <w:rPr>
                <w:rFonts w:ascii="Garamond" w:hAnsi="Garamond"/>
                <w:sz w:val="16"/>
                <w:szCs w:val="16"/>
              </w:rPr>
            </w:pPr>
            <w:r w:rsidRPr="006E4775">
              <w:rPr>
                <w:rFonts w:ascii="Garamond" w:hAnsi="Garamond"/>
                <w:sz w:val="16"/>
                <w:szCs w:val="16"/>
              </w:rPr>
              <w:t>0.8% (2020)</w:t>
            </w:r>
          </w:p>
        </w:tc>
        <w:tc>
          <w:tcPr>
            <w:tcW w:w="1417" w:type="dxa"/>
          </w:tcPr>
          <w:p w14:paraId="48283FD6" w14:textId="77777777" w:rsidR="004566A6" w:rsidRPr="006E4775" w:rsidRDefault="004566A6" w:rsidP="004566A6">
            <w:pPr>
              <w:rPr>
                <w:rFonts w:ascii="Garamond" w:hAnsi="Garamond"/>
                <w:sz w:val="16"/>
                <w:szCs w:val="16"/>
              </w:rPr>
            </w:pPr>
            <w:r w:rsidRPr="006E4775">
              <w:rPr>
                <w:rFonts w:ascii="Garamond" w:hAnsi="Garamond"/>
                <w:sz w:val="16"/>
                <w:szCs w:val="16"/>
              </w:rPr>
              <w:t>24,5% (2020)</w:t>
            </w:r>
          </w:p>
        </w:tc>
        <w:tc>
          <w:tcPr>
            <w:tcW w:w="1559" w:type="dxa"/>
            <w:shd w:val="clear" w:color="auto" w:fill="F7CAAC" w:themeFill="accent2" w:themeFillTint="66"/>
          </w:tcPr>
          <w:p w14:paraId="4B25E343" w14:textId="77777777" w:rsidR="004566A6" w:rsidRPr="006E4775" w:rsidRDefault="004566A6" w:rsidP="004566A6">
            <w:pPr>
              <w:rPr>
                <w:rFonts w:ascii="Garamond" w:hAnsi="Garamond"/>
                <w:sz w:val="16"/>
                <w:szCs w:val="16"/>
              </w:rPr>
            </w:pPr>
            <w:r w:rsidRPr="006E4775">
              <w:rPr>
                <w:rFonts w:ascii="Garamond" w:hAnsi="Garamond"/>
                <w:sz w:val="16"/>
                <w:szCs w:val="16"/>
              </w:rPr>
              <w:t>0,7 % (2020)</w:t>
            </w:r>
          </w:p>
        </w:tc>
      </w:tr>
      <w:tr w:rsidR="004566A6" w:rsidRPr="006E4775" w14:paraId="0891C6EA" w14:textId="77777777" w:rsidTr="004566A6">
        <w:tc>
          <w:tcPr>
            <w:tcW w:w="1413" w:type="dxa"/>
            <w:shd w:val="clear" w:color="auto" w:fill="E7E6E6" w:themeFill="background2"/>
          </w:tcPr>
          <w:p w14:paraId="2E1CEAB0" w14:textId="77777777" w:rsidR="004566A6" w:rsidRPr="006E4775" w:rsidRDefault="004566A6" w:rsidP="004566A6">
            <w:pPr>
              <w:rPr>
                <w:rFonts w:ascii="Garamond" w:hAnsi="Garamond"/>
                <w:iCs/>
                <w:sz w:val="16"/>
                <w:szCs w:val="16"/>
              </w:rPr>
            </w:pPr>
            <w:r w:rsidRPr="006E4775">
              <w:rPr>
                <w:rFonts w:ascii="Garamond" w:hAnsi="Garamond"/>
                <w:iCs/>
                <w:sz w:val="16"/>
                <w:szCs w:val="16"/>
              </w:rPr>
              <w:t>Índice de desarrollo humano</w:t>
            </w:r>
          </w:p>
        </w:tc>
        <w:tc>
          <w:tcPr>
            <w:tcW w:w="1701" w:type="dxa"/>
            <w:shd w:val="clear" w:color="auto" w:fill="FFFFFF" w:themeFill="background1"/>
          </w:tcPr>
          <w:p w14:paraId="6BD89FB9" w14:textId="77777777" w:rsidR="004566A6" w:rsidRPr="006E4775" w:rsidRDefault="004566A6" w:rsidP="004566A6">
            <w:pPr>
              <w:rPr>
                <w:rFonts w:ascii="Garamond" w:hAnsi="Garamond"/>
                <w:sz w:val="16"/>
                <w:szCs w:val="16"/>
              </w:rPr>
            </w:pPr>
            <w:r w:rsidRPr="006E4775">
              <w:rPr>
                <w:rFonts w:ascii="Garamond" w:hAnsi="Garamond"/>
                <w:sz w:val="16"/>
                <w:szCs w:val="16"/>
              </w:rPr>
              <w:t>0,767 (2019)</w:t>
            </w:r>
          </w:p>
          <w:p w14:paraId="637838F1" w14:textId="77777777" w:rsidR="004566A6" w:rsidRPr="006E4775" w:rsidRDefault="004566A6" w:rsidP="004566A6">
            <w:pPr>
              <w:rPr>
                <w:rFonts w:ascii="Garamond" w:hAnsi="Garamond"/>
                <w:sz w:val="16"/>
                <w:szCs w:val="16"/>
              </w:rPr>
            </w:pPr>
          </w:p>
        </w:tc>
        <w:tc>
          <w:tcPr>
            <w:tcW w:w="1701" w:type="dxa"/>
            <w:shd w:val="clear" w:color="auto" w:fill="FFFFFF" w:themeFill="background1"/>
          </w:tcPr>
          <w:p w14:paraId="11CE650D" w14:textId="1E598EEB" w:rsidR="004566A6" w:rsidRPr="006E4775" w:rsidRDefault="004566A6" w:rsidP="004566A6">
            <w:pPr>
              <w:rPr>
                <w:rFonts w:ascii="Garamond" w:hAnsi="Garamond"/>
                <w:sz w:val="16"/>
                <w:szCs w:val="16"/>
              </w:rPr>
            </w:pPr>
            <w:r w:rsidRPr="006E4775">
              <w:rPr>
                <w:rFonts w:ascii="Garamond" w:hAnsi="Garamond"/>
                <w:sz w:val="16"/>
                <w:szCs w:val="16"/>
              </w:rPr>
              <w:t>0,777 (2019)</w:t>
            </w:r>
          </w:p>
        </w:tc>
        <w:tc>
          <w:tcPr>
            <w:tcW w:w="1701" w:type="dxa"/>
            <w:shd w:val="clear" w:color="auto" w:fill="FFFFFF" w:themeFill="background1"/>
          </w:tcPr>
          <w:p w14:paraId="3D4FDF1C" w14:textId="5764276D" w:rsidR="004566A6" w:rsidRPr="006E4775" w:rsidRDefault="004566A6" w:rsidP="004566A6">
            <w:pPr>
              <w:rPr>
                <w:rFonts w:ascii="Garamond" w:hAnsi="Garamond"/>
                <w:sz w:val="16"/>
                <w:szCs w:val="16"/>
              </w:rPr>
            </w:pPr>
            <w:r w:rsidRPr="006E4775">
              <w:rPr>
                <w:rFonts w:ascii="Garamond" w:hAnsi="Garamond"/>
                <w:sz w:val="16"/>
                <w:szCs w:val="16"/>
              </w:rPr>
              <w:t>0,718 (2019)</w:t>
            </w:r>
          </w:p>
        </w:tc>
        <w:tc>
          <w:tcPr>
            <w:tcW w:w="1701" w:type="dxa"/>
            <w:shd w:val="clear" w:color="auto" w:fill="FFFFFF" w:themeFill="background1"/>
          </w:tcPr>
          <w:p w14:paraId="76493BF6" w14:textId="1AB64723" w:rsidR="004566A6" w:rsidRPr="006E4775" w:rsidRDefault="004566A6" w:rsidP="004566A6">
            <w:pPr>
              <w:rPr>
                <w:rFonts w:ascii="Garamond" w:hAnsi="Garamond"/>
                <w:sz w:val="16"/>
                <w:szCs w:val="16"/>
              </w:rPr>
            </w:pPr>
            <w:r w:rsidRPr="006E4775">
              <w:rPr>
                <w:rFonts w:ascii="Garamond" w:hAnsi="Garamond"/>
                <w:sz w:val="16"/>
                <w:szCs w:val="16"/>
              </w:rPr>
              <w:t>0,711 (2019)</w:t>
            </w:r>
          </w:p>
        </w:tc>
        <w:tc>
          <w:tcPr>
            <w:tcW w:w="1417" w:type="dxa"/>
          </w:tcPr>
          <w:p w14:paraId="6AD81B2F" w14:textId="77777777" w:rsidR="004566A6" w:rsidRPr="006E4775" w:rsidRDefault="004566A6" w:rsidP="004566A6">
            <w:pPr>
              <w:rPr>
                <w:rFonts w:ascii="Garamond" w:hAnsi="Garamond"/>
                <w:sz w:val="16"/>
                <w:szCs w:val="16"/>
              </w:rPr>
            </w:pPr>
            <w:r w:rsidRPr="006E4775">
              <w:rPr>
                <w:rFonts w:ascii="Garamond" w:hAnsi="Garamond"/>
                <w:sz w:val="16"/>
                <w:szCs w:val="16"/>
              </w:rPr>
              <w:t>0,756 (2019)</w:t>
            </w:r>
          </w:p>
        </w:tc>
        <w:tc>
          <w:tcPr>
            <w:tcW w:w="1417" w:type="dxa"/>
          </w:tcPr>
          <w:p w14:paraId="6D3E08CF" w14:textId="77777777" w:rsidR="004566A6" w:rsidRPr="006E4775" w:rsidRDefault="004566A6" w:rsidP="004566A6">
            <w:pPr>
              <w:rPr>
                <w:rFonts w:ascii="Garamond" w:hAnsi="Garamond"/>
                <w:sz w:val="16"/>
                <w:szCs w:val="16"/>
              </w:rPr>
            </w:pPr>
            <w:r w:rsidRPr="006E4775">
              <w:rPr>
                <w:rFonts w:ascii="Garamond" w:hAnsi="Garamond"/>
                <w:sz w:val="16"/>
                <w:szCs w:val="16"/>
              </w:rPr>
              <w:t>0,510 (2019)</w:t>
            </w:r>
          </w:p>
        </w:tc>
        <w:tc>
          <w:tcPr>
            <w:tcW w:w="1559" w:type="dxa"/>
            <w:shd w:val="clear" w:color="auto" w:fill="F7CAAC" w:themeFill="accent2" w:themeFillTint="66"/>
          </w:tcPr>
          <w:p w14:paraId="7FE4D379" w14:textId="77777777" w:rsidR="004566A6" w:rsidRPr="006E4775" w:rsidRDefault="004566A6" w:rsidP="004566A6">
            <w:pPr>
              <w:rPr>
                <w:rFonts w:ascii="Garamond" w:hAnsi="Garamond"/>
                <w:sz w:val="16"/>
                <w:szCs w:val="16"/>
              </w:rPr>
            </w:pPr>
            <w:r w:rsidRPr="006E4775">
              <w:rPr>
                <w:rFonts w:ascii="Garamond" w:hAnsi="Garamond"/>
                <w:sz w:val="16"/>
                <w:szCs w:val="16"/>
              </w:rPr>
              <w:t>0,767 (2019</w:t>
            </w:r>
          </w:p>
        </w:tc>
      </w:tr>
      <w:tr w:rsidR="004566A6" w:rsidRPr="006E4775" w14:paraId="75DEB519" w14:textId="77777777" w:rsidTr="004566A6">
        <w:tc>
          <w:tcPr>
            <w:tcW w:w="1413" w:type="dxa"/>
            <w:shd w:val="clear" w:color="auto" w:fill="E7E6E6" w:themeFill="background2"/>
          </w:tcPr>
          <w:p w14:paraId="5B88BF85" w14:textId="77777777" w:rsidR="004566A6" w:rsidRPr="006E4775" w:rsidRDefault="004566A6" w:rsidP="004566A6">
            <w:pPr>
              <w:rPr>
                <w:rFonts w:ascii="Garamond" w:hAnsi="Garamond"/>
                <w:iCs/>
                <w:sz w:val="16"/>
                <w:szCs w:val="16"/>
              </w:rPr>
            </w:pPr>
            <w:r w:rsidRPr="006E4775">
              <w:rPr>
                <w:rFonts w:ascii="Garamond" w:hAnsi="Garamond"/>
                <w:iCs/>
                <w:sz w:val="16"/>
                <w:szCs w:val="16"/>
              </w:rPr>
              <w:t>Desempleo (%)</w:t>
            </w:r>
          </w:p>
        </w:tc>
        <w:tc>
          <w:tcPr>
            <w:tcW w:w="1701" w:type="dxa"/>
            <w:shd w:val="clear" w:color="auto" w:fill="FFFFFF" w:themeFill="background1"/>
          </w:tcPr>
          <w:p w14:paraId="646AF411" w14:textId="70745FC9" w:rsidR="004566A6" w:rsidRPr="006E4775" w:rsidRDefault="004566A6" w:rsidP="004566A6">
            <w:pPr>
              <w:rPr>
                <w:rFonts w:ascii="Garamond" w:hAnsi="Garamond"/>
                <w:sz w:val="16"/>
                <w:szCs w:val="16"/>
              </w:rPr>
            </w:pPr>
            <w:r w:rsidRPr="006E4775">
              <w:rPr>
                <w:rFonts w:ascii="Garamond" w:hAnsi="Garamond"/>
                <w:sz w:val="16"/>
                <w:szCs w:val="16"/>
              </w:rPr>
              <w:t>14,3% (2021)</w:t>
            </w:r>
          </w:p>
        </w:tc>
        <w:tc>
          <w:tcPr>
            <w:tcW w:w="1701" w:type="dxa"/>
            <w:shd w:val="clear" w:color="auto" w:fill="FFFFFF" w:themeFill="background1"/>
          </w:tcPr>
          <w:p w14:paraId="53EB02B7" w14:textId="6CCC95D3" w:rsidR="004566A6" w:rsidRPr="006E4775" w:rsidRDefault="004566A6" w:rsidP="004566A6">
            <w:pPr>
              <w:rPr>
                <w:rFonts w:ascii="Garamond" w:hAnsi="Garamond"/>
                <w:sz w:val="16"/>
                <w:szCs w:val="16"/>
              </w:rPr>
            </w:pPr>
            <w:r w:rsidRPr="006E4775">
              <w:rPr>
                <w:rFonts w:ascii="Garamond" w:hAnsi="Garamond"/>
                <w:sz w:val="16"/>
                <w:szCs w:val="16"/>
              </w:rPr>
              <w:t>4,8% (2021)</w:t>
            </w:r>
          </w:p>
        </w:tc>
        <w:tc>
          <w:tcPr>
            <w:tcW w:w="1701" w:type="dxa"/>
            <w:shd w:val="clear" w:color="auto" w:fill="FFFFFF" w:themeFill="background1"/>
          </w:tcPr>
          <w:p w14:paraId="721E08C2" w14:textId="384964DB" w:rsidR="004566A6" w:rsidRPr="006E4775" w:rsidRDefault="004566A6" w:rsidP="004566A6">
            <w:pPr>
              <w:rPr>
                <w:rFonts w:ascii="Garamond" w:hAnsi="Garamond"/>
                <w:sz w:val="16"/>
                <w:szCs w:val="16"/>
              </w:rPr>
            </w:pPr>
            <w:r w:rsidRPr="006E4775">
              <w:rPr>
                <w:rFonts w:ascii="Garamond" w:hAnsi="Garamond"/>
                <w:sz w:val="16"/>
                <w:szCs w:val="16"/>
              </w:rPr>
              <w:t>8,5% (2021)</w:t>
            </w:r>
          </w:p>
        </w:tc>
        <w:tc>
          <w:tcPr>
            <w:tcW w:w="1701" w:type="dxa"/>
            <w:shd w:val="clear" w:color="auto" w:fill="FFFFFF" w:themeFill="background1"/>
          </w:tcPr>
          <w:p w14:paraId="572239F6" w14:textId="5DD3C56E" w:rsidR="004566A6" w:rsidRPr="006E4775" w:rsidRDefault="004566A6" w:rsidP="004566A6">
            <w:pPr>
              <w:rPr>
                <w:rFonts w:ascii="Garamond" w:hAnsi="Garamond"/>
                <w:sz w:val="16"/>
                <w:szCs w:val="16"/>
              </w:rPr>
            </w:pPr>
            <w:r w:rsidRPr="006E4775">
              <w:rPr>
                <w:rFonts w:ascii="Garamond" w:hAnsi="Garamond"/>
                <w:sz w:val="16"/>
                <w:szCs w:val="16"/>
              </w:rPr>
              <w:t>6,4% (2021)</w:t>
            </w:r>
          </w:p>
        </w:tc>
        <w:tc>
          <w:tcPr>
            <w:tcW w:w="1417" w:type="dxa"/>
          </w:tcPr>
          <w:p w14:paraId="2A4E3536" w14:textId="77777777" w:rsidR="004566A6" w:rsidRPr="006E4775" w:rsidRDefault="004566A6" w:rsidP="004566A6">
            <w:pPr>
              <w:rPr>
                <w:rFonts w:ascii="Garamond" w:hAnsi="Garamond"/>
                <w:sz w:val="16"/>
                <w:szCs w:val="16"/>
              </w:rPr>
            </w:pPr>
            <w:r w:rsidRPr="006E4775">
              <w:rPr>
                <w:rFonts w:ascii="Garamond" w:hAnsi="Garamond"/>
                <w:sz w:val="16"/>
                <w:szCs w:val="16"/>
              </w:rPr>
              <w:t>8,5% (2021)</w:t>
            </w:r>
          </w:p>
        </w:tc>
        <w:tc>
          <w:tcPr>
            <w:tcW w:w="1417" w:type="dxa"/>
          </w:tcPr>
          <w:p w14:paraId="5FB7D13B" w14:textId="77777777" w:rsidR="004566A6" w:rsidRPr="006E4775" w:rsidRDefault="004566A6" w:rsidP="004566A6">
            <w:pPr>
              <w:rPr>
                <w:rFonts w:ascii="Garamond" w:hAnsi="Garamond"/>
                <w:sz w:val="16"/>
                <w:szCs w:val="16"/>
              </w:rPr>
            </w:pPr>
            <w:r w:rsidRPr="006E4775">
              <w:rPr>
                <w:rFonts w:ascii="Garamond" w:hAnsi="Garamond"/>
                <w:sz w:val="16"/>
                <w:szCs w:val="16"/>
              </w:rPr>
              <w:t>15,7% (2021)</w:t>
            </w:r>
          </w:p>
        </w:tc>
        <w:tc>
          <w:tcPr>
            <w:tcW w:w="1559" w:type="dxa"/>
            <w:shd w:val="clear" w:color="auto" w:fill="F7CAAC" w:themeFill="accent2" w:themeFillTint="66"/>
          </w:tcPr>
          <w:p w14:paraId="29E29E46" w14:textId="77777777" w:rsidR="004566A6" w:rsidRPr="006E4775" w:rsidRDefault="004566A6" w:rsidP="004566A6">
            <w:pPr>
              <w:rPr>
                <w:rFonts w:ascii="Garamond" w:hAnsi="Garamond"/>
                <w:sz w:val="16"/>
                <w:szCs w:val="16"/>
              </w:rPr>
            </w:pPr>
            <w:r w:rsidRPr="006E4775">
              <w:rPr>
                <w:rFonts w:ascii="Garamond" w:hAnsi="Garamond"/>
                <w:sz w:val="16"/>
                <w:szCs w:val="16"/>
              </w:rPr>
              <w:t>9,1 % (2021)</w:t>
            </w:r>
          </w:p>
        </w:tc>
      </w:tr>
      <w:tr w:rsidR="004566A6" w:rsidRPr="006E4775" w14:paraId="3F8E2EE7" w14:textId="77777777" w:rsidTr="004566A6">
        <w:tc>
          <w:tcPr>
            <w:tcW w:w="1413" w:type="dxa"/>
            <w:shd w:val="clear" w:color="auto" w:fill="E7E6E6" w:themeFill="background2"/>
          </w:tcPr>
          <w:p w14:paraId="7BD67FD5" w14:textId="77777777" w:rsidR="004566A6" w:rsidRPr="006E4775" w:rsidRDefault="00634B3D" w:rsidP="004566A6">
            <w:pPr>
              <w:rPr>
                <w:rFonts w:ascii="Garamond" w:hAnsi="Garamond"/>
                <w:iCs/>
                <w:sz w:val="16"/>
                <w:szCs w:val="16"/>
              </w:rPr>
            </w:pPr>
            <w:r w:rsidRPr="006E4775">
              <w:rPr>
                <w:rFonts w:ascii="Garamond" w:hAnsi="Garamond"/>
                <w:iCs/>
                <w:sz w:val="16"/>
                <w:szCs w:val="16"/>
              </w:rPr>
              <w:t>Esperanza de vida al nac</w:t>
            </w:r>
            <w:r w:rsidR="004566A6" w:rsidRPr="006E4775">
              <w:rPr>
                <w:rFonts w:ascii="Garamond" w:hAnsi="Garamond"/>
                <w:iCs/>
                <w:sz w:val="16"/>
                <w:szCs w:val="16"/>
              </w:rPr>
              <w:t>er (años)</w:t>
            </w:r>
          </w:p>
        </w:tc>
        <w:tc>
          <w:tcPr>
            <w:tcW w:w="1701" w:type="dxa"/>
            <w:shd w:val="clear" w:color="auto" w:fill="FFFFFF" w:themeFill="background1"/>
          </w:tcPr>
          <w:p w14:paraId="14513CD5" w14:textId="3B8B8B4B" w:rsidR="004566A6" w:rsidRPr="006E4775" w:rsidRDefault="004566A6" w:rsidP="004566A6">
            <w:pPr>
              <w:rPr>
                <w:rFonts w:ascii="Garamond" w:hAnsi="Garamond"/>
                <w:sz w:val="16"/>
                <w:szCs w:val="16"/>
              </w:rPr>
            </w:pPr>
            <w:r w:rsidRPr="006E4775">
              <w:rPr>
                <w:rFonts w:ascii="Garamond" w:hAnsi="Garamond"/>
                <w:sz w:val="16"/>
                <w:szCs w:val="16"/>
              </w:rPr>
              <w:t>77 años (2021)</w:t>
            </w:r>
          </w:p>
        </w:tc>
        <w:tc>
          <w:tcPr>
            <w:tcW w:w="1701" w:type="dxa"/>
            <w:shd w:val="clear" w:color="auto" w:fill="FFFFFF" w:themeFill="background1"/>
          </w:tcPr>
          <w:p w14:paraId="54DDDE4E" w14:textId="7F9CB24A" w:rsidR="004566A6" w:rsidRPr="006E4775" w:rsidRDefault="004566A6" w:rsidP="004566A6">
            <w:pPr>
              <w:rPr>
                <w:rFonts w:ascii="Garamond" w:hAnsi="Garamond"/>
                <w:sz w:val="16"/>
                <w:szCs w:val="16"/>
              </w:rPr>
            </w:pPr>
            <w:r w:rsidRPr="006E4775">
              <w:rPr>
                <w:rFonts w:ascii="Garamond" w:hAnsi="Garamond"/>
                <w:sz w:val="16"/>
                <w:szCs w:val="16"/>
              </w:rPr>
              <w:t>77 años (2020)</w:t>
            </w:r>
          </w:p>
        </w:tc>
        <w:tc>
          <w:tcPr>
            <w:tcW w:w="1701" w:type="dxa"/>
            <w:shd w:val="clear" w:color="auto" w:fill="FFFFFF" w:themeFill="background1"/>
          </w:tcPr>
          <w:p w14:paraId="71D1E269" w14:textId="72AEE5D8" w:rsidR="004566A6" w:rsidRPr="006E4775" w:rsidRDefault="004566A6" w:rsidP="004566A6">
            <w:pPr>
              <w:rPr>
                <w:rFonts w:ascii="Garamond" w:hAnsi="Garamond"/>
                <w:sz w:val="16"/>
                <w:szCs w:val="16"/>
              </w:rPr>
            </w:pPr>
            <w:r w:rsidRPr="006E4775">
              <w:rPr>
                <w:rFonts w:ascii="Garamond" w:hAnsi="Garamond"/>
                <w:sz w:val="16"/>
                <w:szCs w:val="16"/>
              </w:rPr>
              <w:t>72 años (2021)</w:t>
            </w:r>
          </w:p>
        </w:tc>
        <w:tc>
          <w:tcPr>
            <w:tcW w:w="1701" w:type="dxa"/>
            <w:shd w:val="clear" w:color="auto" w:fill="FFFFFF" w:themeFill="background1"/>
          </w:tcPr>
          <w:p w14:paraId="143068AF" w14:textId="204A0440" w:rsidR="004566A6" w:rsidRPr="006E4775" w:rsidRDefault="004566A6" w:rsidP="004566A6">
            <w:pPr>
              <w:rPr>
                <w:rFonts w:ascii="Garamond" w:hAnsi="Garamond"/>
                <w:sz w:val="16"/>
                <w:szCs w:val="16"/>
              </w:rPr>
            </w:pPr>
            <w:r w:rsidRPr="006E4775">
              <w:rPr>
                <w:rFonts w:ascii="Garamond" w:hAnsi="Garamond"/>
                <w:sz w:val="16"/>
                <w:szCs w:val="16"/>
              </w:rPr>
              <w:t>72 años (2021)</w:t>
            </w:r>
          </w:p>
        </w:tc>
        <w:tc>
          <w:tcPr>
            <w:tcW w:w="1417" w:type="dxa"/>
          </w:tcPr>
          <w:p w14:paraId="7BC88FCA" w14:textId="77777777" w:rsidR="004566A6" w:rsidRPr="006E4775" w:rsidRDefault="004566A6" w:rsidP="004566A6">
            <w:pPr>
              <w:rPr>
                <w:rFonts w:ascii="Garamond" w:hAnsi="Garamond"/>
                <w:sz w:val="16"/>
                <w:szCs w:val="16"/>
              </w:rPr>
            </w:pPr>
            <w:r w:rsidRPr="006E4775">
              <w:rPr>
                <w:rFonts w:ascii="Garamond" w:hAnsi="Garamond"/>
                <w:sz w:val="16"/>
                <w:szCs w:val="16"/>
              </w:rPr>
              <w:t>74 años (2021).</w:t>
            </w:r>
          </w:p>
        </w:tc>
        <w:tc>
          <w:tcPr>
            <w:tcW w:w="1417" w:type="dxa"/>
          </w:tcPr>
          <w:p w14:paraId="3C0B32D1" w14:textId="77777777" w:rsidR="004566A6" w:rsidRPr="006E4775" w:rsidRDefault="004566A6" w:rsidP="004566A6">
            <w:pPr>
              <w:rPr>
                <w:rFonts w:ascii="Garamond" w:hAnsi="Garamond"/>
                <w:sz w:val="16"/>
                <w:szCs w:val="16"/>
              </w:rPr>
            </w:pPr>
            <w:r w:rsidRPr="006E4775">
              <w:rPr>
                <w:rFonts w:ascii="Garamond" w:hAnsi="Garamond"/>
                <w:sz w:val="16"/>
                <w:szCs w:val="16"/>
              </w:rPr>
              <w:t>64 años (2021)</w:t>
            </w:r>
          </w:p>
        </w:tc>
        <w:tc>
          <w:tcPr>
            <w:tcW w:w="1559" w:type="dxa"/>
            <w:shd w:val="clear" w:color="auto" w:fill="F7CAAC" w:themeFill="accent2" w:themeFillTint="66"/>
          </w:tcPr>
          <w:p w14:paraId="14A9577E" w14:textId="77777777" w:rsidR="004566A6" w:rsidRPr="006E4775" w:rsidRDefault="004566A6" w:rsidP="004566A6">
            <w:pPr>
              <w:rPr>
                <w:rFonts w:ascii="Garamond" w:hAnsi="Garamond"/>
                <w:sz w:val="16"/>
                <w:szCs w:val="16"/>
              </w:rPr>
            </w:pPr>
            <w:r w:rsidRPr="006E4775">
              <w:rPr>
                <w:rFonts w:ascii="Garamond" w:hAnsi="Garamond"/>
                <w:sz w:val="16"/>
                <w:szCs w:val="16"/>
              </w:rPr>
              <w:t>80 años (2021)</w:t>
            </w:r>
          </w:p>
        </w:tc>
      </w:tr>
      <w:tr w:rsidR="004566A6" w:rsidRPr="006E4775" w14:paraId="207D835F" w14:textId="77777777" w:rsidTr="004566A6">
        <w:tc>
          <w:tcPr>
            <w:tcW w:w="1413" w:type="dxa"/>
            <w:shd w:val="clear" w:color="auto" w:fill="E7E6E6" w:themeFill="background2"/>
          </w:tcPr>
          <w:p w14:paraId="4CAA1B40" w14:textId="77777777" w:rsidR="004566A6" w:rsidRPr="006E4775" w:rsidRDefault="004566A6" w:rsidP="004566A6">
            <w:pPr>
              <w:rPr>
                <w:rFonts w:ascii="Garamond" w:hAnsi="Garamond"/>
                <w:iCs/>
                <w:sz w:val="16"/>
                <w:szCs w:val="16"/>
              </w:rPr>
            </w:pPr>
            <w:r w:rsidRPr="006E4775">
              <w:rPr>
                <w:rFonts w:ascii="Garamond" w:hAnsi="Garamond"/>
                <w:iCs/>
                <w:sz w:val="16"/>
                <w:szCs w:val="16"/>
              </w:rPr>
              <w:t>Tasa Homicidios cada 100.000 habitantes</w:t>
            </w:r>
          </w:p>
        </w:tc>
        <w:tc>
          <w:tcPr>
            <w:tcW w:w="1701" w:type="dxa"/>
            <w:shd w:val="clear" w:color="auto" w:fill="FFFFFF" w:themeFill="background1"/>
          </w:tcPr>
          <w:p w14:paraId="4D86073A" w14:textId="736B9E06" w:rsidR="004566A6" w:rsidRPr="006E4775" w:rsidRDefault="004566A6" w:rsidP="004566A6">
            <w:pPr>
              <w:rPr>
                <w:rFonts w:ascii="Garamond" w:hAnsi="Garamond"/>
                <w:sz w:val="16"/>
                <w:szCs w:val="16"/>
              </w:rPr>
            </w:pPr>
            <w:r w:rsidRPr="006E4775">
              <w:rPr>
                <w:rFonts w:ascii="Garamond" w:hAnsi="Garamond"/>
                <w:sz w:val="16"/>
                <w:szCs w:val="16"/>
              </w:rPr>
              <w:t>23 (2020)</w:t>
            </w:r>
          </w:p>
        </w:tc>
        <w:tc>
          <w:tcPr>
            <w:tcW w:w="1701" w:type="dxa"/>
            <w:shd w:val="clear" w:color="auto" w:fill="FFFFFF" w:themeFill="background1"/>
          </w:tcPr>
          <w:p w14:paraId="2A9868BE" w14:textId="3970BDCA" w:rsidR="004566A6" w:rsidRPr="006E4775" w:rsidRDefault="004566A6" w:rsidP="004566A6">
            <w:pPr>
              <w:rPr>
                <w:rFonts w:ascii="Garamond" w:hAnsi="Garamond"/>
                <w:sz w:val="16"/>
                <w:szCs w:val="16"/>
              </w:rPr>
            </w:pPr>
            <w:r w:rsidRPr="006E4775">
              <w:rPr>
                <w:rFonts w:ascii="Garamond" w:hAnsi="Garamond"/>
                <w:sz w:val="16"/>
                <w:szCs w:val="16"/>
              </w:rPr>
              <w:t>8 (2020)</w:t>
            </w:r>
          </w:p>
        </w:tc>
        <w:tc>
          <w:tcPr>
            <w:tcW w:w="1701" w:type="dxa"/>
            <w:shd w:val="clear" w:color="auto" w:fill="FFFFFF" w:themeFill="background1"/>
          </w:tcPr>
          <w:p w14:paraId="23DB36E9" w14:textId="3AB489D4" w:rsidR="004566A6" w:rsidRPr="006E4775" w:rsidRDefault="004566A6" w:rsidP="004566A6">
            <w:pPr>
              <w:rPr>
                <w:rFonts w:ascii="Garamond" w:hAnsi="Garamond"/>
                <w:sz w:val="16"/>
                <w:szCs w:val="16"/>
              </w:rPr>
            </w:pPr>
            <w:r w:rsidRPr="006E4775">
              <w:rPr>
                <w:rFonts w:ascii="Garamond" w:hAnsi="Garamond"/>
                <w:sz w:val="16"/>
                <w:szCs w:val="16"/>
              </w:rPr>
              <w:t>7 (2020)</w:t>
            </w:r>
          </w:p>
        </w:tc>
        <w:tc>
          <w:tcPr>
            <w:tcW w:w="1701" w:type="dxa"/>
            <w:shd w:val="clear" w:color="auto" w:fill="FFFFFF" w:themeFill="background1"/>
          </w:tcPr>
          <w:p w14:paraId="711BA382" w14:textId="5291C552" w:rsidR="004566A6" w:rsidRPr="006E4775" w:rsidRDefault="004566A6" w:rsidP="004566A6">
            <w:pPr>
              <w:rPr>
                <w:rFonts w:ascii="Garamond" w:hAnsi="Garamond"/>
                <w:sz w:val="16"/>
                <w:szCs w:val="16"/>
              </w:rPr>
            </w:pPr>
            <w:r w:rsidRPr="006E4775">
              <w:rPr>
                <w:rFonts w:ascii="Garamond" w:hAnsi="Garamond"/>
                <w:sz w:val="16"/>
                <w:szCs w:val="16"/>
              </w:rPr>
              <w:t>50 (2020)</w:t>
            </w:r>
          </w:p>
        </w:tc>
        <w:tc>
          <w:tcPr>
            <w:tcW w:w="1417" w:type="dxa"/>
          </w:tcPr>
          <w:p w14:paraId="33088934" w14:textId="77777777" w:rsidR="004566A6" w:rsidRPr="006E4775" w:rsidRDefault="004566A6" w:rsidP="004566A6">
            <w:pPr>
              <w:rPr>
                <w:rFonts w:ascii="Garamond" w:hAnsi="Garamond"/>
                <w:sz w:val="16"/>
                <w:szCs w:val="16"/>
              </w:rPr>
            </w:pPr>
            <w:r w:rsidRPr="006E4775">
              <w:rPr>
                <w:rFonts w:ascii="Garamond" w:hAnsi="Garamond"/>
                <w:sz w:val="16"/>
                <w:szCs w:val="16"/>
              </w:rPr>
              <w:t>9 (2020)</w:t>
            </w:r>
          </w:p>
        </w:tc>
        <w:tc>
          <w:tcPr>
            <w:tcW w:w="1417" w:type="dxa"/>
          </w:tcPr>
          <w:p w14:paraId="0A63BA0B" w14:textId="77777777" w:rsidR="004566A6" w:rsidRPr="006E4775" w:rsidRDefault="004566A6" w:rsidP="004566A6">
            <w:pPr>
              <w:rPr>
                <w:rFonts w:ascii="Garamond" w:hAnsi="Garamond"/>
                <w:sz w:val="16"/>
                <w:szCs w:val="16"/>
              </w:rPr>
            </w:pPr>
            <w:r w:rsidRPr="006E4775">
              <w:rPr>
                <w:rFonts w:ascii="Garamond" w:hAnsi="Garamond"/>
                <w:sz w:val="16"/>
                <w:szCs w:val="16"/>
              </w:rPr>
              <w:t>7 (2020)</w:t>
            </w:r>
          </w:p>
        </w:tc>
        <w:tc>
          <w:tcPr>
            <w:tcW w:w="1559" w:type="dxa"/>
            <w:shd w:val="clear" w:color="auto" w:fill="F7CAAC" w:themeFill="accent2" w:themeFillTint="66"/>
          </w:tcPr>
          <w:p w14:paraId="2EE4F451" w14:textId="77777777" w:rsidR="004566A6" w:rsidRPr="006E4775" w:rsidRDefault="004566A6" w:rsidP="004566A6">
            <w:pPr>
              <w:rPr>
                <w:rFonts w:ascii="Garamond" w:hAnsi="Garamond"/>
                <w:sz w:val="16"/>
                <w:szCs w:val="16"/>
              </w:rPr>
            </w:pPr>
            <w:r w:rsidRPr="006E4775">
              <w:rPr>
                <w:rFonts w:ascii="Garamond" w:hAnsi="Garamond"/>
                <w:sz w:val="16"/>
                <w:szCs w:val="16"/>
              </w:rPr>
              <w:t>5 (2020)</w:t>
            </w:r>
          </w:p>
        </w:tc>
      </w:tr>
      <w:tr w:rsidR="004566A6" w:rsidRPr="006E4775" w14:paraId="448EC131" w14:textId="77777777" w:rsidTr="004566A6">
        <w:tc>
          <w:tcPr>
            <w:tcW w:w="1413" w:type="dxa"/>
            <w:shd w:val="clear" w:color="auto" w:fill="E7E6E6" w:themeFill="background2"/>
          </w:tcPr>
          <w:p w14:paraId="0A2592FB" w14:textId="77777777" w:rsidR="004566A6" w:rsidRPr="006E4775" w:rsidRDefault="004566A6" w:rsidP="004566A6">
            <w:pPr>
              <w:rPr>
                <w:rFonts w:ascii="Garamond" w:hAnsi="Garamond"/>
                <w:sz w:val="16"/>
                <w:szCs w:val="16"/>
              </w:rPr>
            </w:pPr>
            <w:r w:rsidRPr="006E4775">
              <w:rPr>
                <w:rFonts w:ascii="Garamond" w:hAnsi="Garamond"/>
                <w:sz w:val="16"/>
                <w:szCs w:val="16"/>
              </w:rPr>
              <w:t>Migración neta</w:t>
            </w:r>
          </w:p>
        </w:tc>
        <w:tc>
          <w:tcPr>
            <w:tcW w:w="1701" w:type="dxa"/>
            <w:shd w:val="clear" w:color="auto" w:fill="FFFFFF" w:themeFill="background1"/>
          </w:tcPr>
          <w:p w14:paraId="2F4718EC" w14:textId="029A4DF6" w:rsidR="004566A6" w:rsidRPr="006E4775" w:rsidRDefault="004566A6" w:rsidP="004566A6">
            <w:pPr>
              <w:rPr>
                <w:rFonts w:ascii="Garamond" w:hAnsi="Garamond"/>
                <w:sz w:val="16"/>
                <w:szCs w:val="16"/>
              </w:rPr>
            </w:pPr>
            <w:r w:rsidRPr="006E4775">
              <w:rPr>
                <w:rFonts w:ascii="Garamond" w:hAnsi="Garamond"/>
                <w:sz w:val="16"/>
                <w:szCs w:val="16"/>
              </w:rPr>
              <w:t>1.023.981 (2017)</w:t>
            </w:r>
          </w:p>
        </w:tc>
        <w:tc>
          <w:tcPr>
            <w:tcW w:w="1701" w:type="dxa"/>
            <w:shd w:val="clear" w:color="auto" w:fill="FFFFFF" w:themeFill="background1"/>
          </w:tcPr>
          <w:p w14:paraId="27CEB8FB" w14:textId="352DC06E" w:rsidR="004566A6" w:rsidRPr="006E4775" w:rsidRDefault="004566A6" w:rsidP="004566A6">
            <w:pPr>
              <w:rPr>
                <w:rFonts w:ascii="Garamond" w:hAnsi="Garamond"/>
                <w:sz w:val="16"/>
                <w:szCs w:val="16"/>
              </w:rPr>
            </w:pPr>
            <w:r w:rsidRPr="006E4775">
              <w:rPr>
                <w:rFonts w:ascii="Garamond" w:hAnsi="Garamond"/>
                <w:sz w:val="16"/>
                <w:szCs w:val="16"/>
              </w:rPr>
              <w:t>495.345 (2017)</w:t>
            </w:r>
          </w:p>
        </w:tc>
        <w:tc>
          <w:tcPr>
            <w:tcW w:w="1701" w:type="dxa"/>
            <w:shd w:val="clear" w:color="auto" w:fill="FFFFFF" w:themeFill="background1"/>
          </w:tcPr>
          <w:p w14:paraId="59AFAAAD" w14:textId="3B185552" w:rsidR="004566A6" w:rsidRPr="006E4775" w:rsidRDefault="004566A6" w:rsidP="004566A6">
            <w:pPr>
              <w:rPr>
                <w:rFonts w:ascii="Garamond" w:hAnsi="Garamond"/>
                <w:sz w:val="16"/>
                <w:szCs w:val="16"/>
              </w:rPr>
            </w:pPr>
            <w:r w:rsidRPr="006E4775">
              <w:rPr>
                <w:rFonts w:ascii="Garamond" w:hAnsi="Garamond"/>
                <w:sz w:val="16"/>
                <w:szCs w:val="16"/>
              </w:rPr>
              <w:t>- 47.520 (2017)</w:t>
            </w:r>
          </w:p>
        </w:tc>
        <w:tc>
          <w:tcPr>
            <w:tcW w:w="1701" w:type="dxa"/>
            <w:shd w:val="clear" w:color="auto" w:fill="FFFFFF" w:themeFill="background1"/>
          </w:tcPr>
          <w:p w14:paraId="1A50020E" w14:textId="3D4BABDD" w:rsidR="004566A6" w:rsidRPr="006E4775" w:rsidRDefault="004566A6" w:rsidP="004566A6">
            <w:pPr>
              <w:rPr>
                <w:rFonts w:ascii="Garamond" w:hAnsi="Garamond"/>
                <w:sz w:val="16"/>
                <w:szCs w:val="16"/>
              </w:rPr>
            </w:pPr>
            <w:r w:rsidRPr="006E4775">
              <w:rPr>
                <w:rFonts w:ascii="Garamond" w:hAnsi="Garamond"/>
                <w:sz w:val="16"/>
                <w:szCs w:val="16"/>
              </w:rPr>
              <w:t>-3.266.243 (2017)</w:t>
            </w:r>
          </w:p>
        </w:tc>
        <w:tc>
          <w:tcPr>
            <w:tcW w:w="1417" w:type="dxa"/>
          </w:tcPr>
          <w:p w14:paraId="15B98107" w14:textId="77777777" w:rsidR="004566A6" w:rsidRPr="006E4775" w:rsidRDefault="004566A6" w:rsidP="004566A6">
            <w:pPr>
              <w:rPr>
                <w:rFonts w:ascii="Garamond" w:hAnsi="Garamond"/>
                <w:sz w:val="16"/>
                <w:szCs w:val="16"/>
              </w:rPr>
            </w:pPr>
            <w:r w:rsidRPr="006E4775">
              <w:rPr>
                <w:rFonts w:ascii="Garamond" w:hAnsi="Garamond"/>
                <w:sz w:val="16"/>
                <w:szCs w:val="16"/>
              </w:rPr>
              <w:t>-150.000 (2017)</w:t>
            </w:r>
          </w:p>
        </w:tc>
        <w:tc>
          <w:tcPr>
            <w:tcW w:w="1417" w:type="dxa"/>
          </w:tcPr>
          <w:p w14:paraId="5193DFAA" w14:textId="77777777" w:rsidR="004566A6" w:rsidRPr="006E4775" w:rsidRDefault="004566A6" w:rsidP="004566A6">
            <w:pPr>
              <w:rPr>
                <w:rFonts w:ascii="Garamond" w:hAnsi="Garamond"/>
                <w:sz w:val="16"/>
                <w:szCs w:val="16"/>
              </w:rPr>
            </w:pPr>
            <w:r w:rsidRPr="006E4775">
              <w:rPr>
                <w:rFonts w:ascii="Garamond" w:hAnsi="Garamond"/>
                <w:sz w:val="16"/>
                <w:szCs w:val="16"/>
              </w:rPr>
              <w:t>-175.000 (2017)</w:t>
            </w:r>
          </w:p>
        </w:tc>
        <w:tc>
          <w:tcPr>
            <w:tcW w:w="1559" w:type="dxa"/>
            <w:shd w:val="clear" w:color="auto" w:fill="F7CAAC" w:themeFill="accent2" w:themeFillTint="66"/>
          </w:tcPr>
          <w:p w14:paraId="30F866DC" w14:textId="77777777" w:rsidR="004566A6" w:rsidRPr="006E4775" w:rsidRDefault="004566A6" w:rsidP="004566A6">
            <w:pPr>
              <w:rPr>
                <w:rFonts w:ascii="Garamond" w:hAnsi="Garamond"/>
                <w:sz w:val="16"/>
                <w:szCs w:val="16"/>
              </w:rPr>
            </w:pPr>
            <w:r w:rsidRPr="006E4775">
              <w:rPr>
                <w:rFonts w:ascii="Garamond" w:hAnsi="Garamond"/>
                <w:sz w:val="16"/>
                <w:szCs w:val="16"/>
              </w:rPr>
              <w:t>558.539 (2017)</w:t>
            </w:r>
          </w:p>
        </w:tc>
      </w:tr>
      <w:tr w:rsidR="004566A6" w:rsidRPr="006E4775" w14:paraId="693C5158" w14:textId="77777777" w:rsidTr="004566A6">
        <w:tc>
          <w:tcPr>
            <w:tcW w:w="1413" w:type="dxa"/>
            <w:shd w:val="clear" w:color="auto" w:fill="E7E6E6" w:themeFill="background2"/>
          </w:tcPr>
          <w:p w14:paraId="04CF52CF" w14:textId="35A06262" w:rsidR="004566A6" w:rsidRPr="006E4775" w:rsidRDefault="004566A6" w:rsidP="004566A6">
            <w:pPr>
              <w:rPr>
                <w:rFonts w:ascii="Garamond" w:hAnsi="Garamond"/>
                <w:sz w:val="16"/>
                <w:szCs w:val="16"/>
              </w:rPr>
            </w:pPr>
            <w:r w:rsidRPr="006E4775">
              <w:rPr>
                <w:rFonts w:ascii="Garamond" w:hAnsi="Garamond"/>
                <w:sz w:val="16"/>
                <w:szCs w:val="16"/>
              </w:rPr>
              <w:t>Justicia Juvenil</w:t>
            </w:r>
          </w:p>
        </w:tc>
        <w:tc>
          <w:tcPr>
            <w:tcW w:w="1701" w:type="dxa"/>
            <w:shd w:val="clear" w:color="auto" w:fill="FFFFFF" w:themeFill="background1"/>
          </w:tcPr>
          <w:p w14:paraId="2389580C" w14:textId="41F99797" w:rsidR="004566A6" w:rsidRPr="006E4775" w:rsidRDefault="004566A6" w:rsidP="004566A6">
            <w:pPr>
              <w:rPr>
                <w:rFonts w:ascii="Garamond" w:hAnsi="Garamond"/>
                <w:sz w:val="16"/>
                <w:szCs w:val="16"/>
              </w:rPr>
            </w:pPr>
            <w:r w:rsidRPr="006E4775">
              <w:rPr>
                <w:rFonts w:ascii="Garamond" w:hAnsi="Garamond"/>
                <w:sz w:val="16"/>
                <w:szCs w:val="16"/>
              </w:rPr>
              <w:t>14-18 años</w:t>
            </w:r>
          </w:p>
        </w:tc>
        <w:tc>
          <w:tcPr>
            <w:tcW w:w="1701" w:type="dxa"/>
            <w:shd w:val="clear" w:color="auto" w:fill="FFFFFF" w:themeFill="background1"/>
          </w:tcPr>
          <w:p w14:paraId="1C14A5D4" w14:textId="373C11D4" w:rsidR="004566A6" w:rsidRPr="006E4775" w:rsidRDefault="004566A6" w:rsidP="004566A6">
            <w:pPr>
              <w:rPr>
                <w:rFonts w:ascii="Garamond" w:hAnsi="Garamond"/>
                <w:sz w:val="16"/>
                <w:szCs w:val="16"/>
              </w:rPr>
            </w:pPr>
            <w:r w:rsidRPr="006E4775">
              <w:rPr>
                <w:rFonts w:ascii="Garamond" w:hAnsi="Garamond"/>
                <w:sz w:val="16"/>
                <w:szCs w:val="16"/>
              </w:rPr>
              <w:t>14-18 años</w:t>
            </w:r>
          </w:p>
        </w:tc>
        <w:tc>
          <w:tcPr>
            <w:tcW w:w="1701" w:type="dxa"/>
            <w:shd w:val="clear" w:color="auto" w:fill="FFFFFF" w:themeFill="background1"/>
          </w:tcPr>
          <w:p w14:paraId="2C8DE869" w14:textId="0E3CB8FD" w:rsidR="004566A6" w:rsidRPr="006E4775" w:rsidRDefault="004566A6" w:rsidP="004566A6">
            <w:pPr>
              <w:rPr>
                <w:rFonts w:ascii="Garamond" w:hAnsi="Garamond"/>
                <w:sz w:val="16"/>
                <w:szCs w:val="16"/>
              </w:rPr>
            </w:pPr>
            <w:r w:rsidRPr="006E4775">
              <w:rPr>
                <w:rFonts w:ascii="Garamond" w:hAnsi="Garamond"/>
                <w:sz w:val="16"/>
                <w:szCs w:val="16"/>
              </w:rPr>
              <w:t>12- 18 años</w:t>
            </w:r>
          </w:p>
        </w:tc>
        <w:tc>
          <w:tcPr>
            <w:tcW w:w="1701" w:type="dxa"/>
            <w:shd w:val="clear" w:color="auto" w:fill="FFFFFF" w:themeFill="background1"/>
          </w:tcPr>
          <w:p w14:paraId="5E7A016B" w14:textId="11EEBC5B" w:rsidR="004566A6" w:rsidRPr="006E4775" w:rsidRDefault="00843D2E" w:rsidP="004566A6">
            <w:pPr>
              <w:rPr>
                <w:rFonts w:ascii="Garamond" w:hAnsi="Garamond"/>
                <w:sz w:val="16"/>
                <w:szCs w:val="16"/>
              </w:rPr>
            </w:pPr>
            <w:r w:rsidRPr="006E4775">
              <w:rPr>
                <w:rFonts w:ascii="Garamond" w:hAnsi="Garamond"/>
                <w:sz w:val="16"/>
                <w:szCs w:val="16"/>
              </w:rPr>
              <w:t>15-18 años</w:t>
            </w:r>
          </w:p>
        </w:tc>
        <w:tc>
          <w:tcPr>
            <w:tcW w:w="1417" w:type="dxa"/>
          </w:tcPr>
          <w:p w14:paraId="78ACAD77" w14:textId="77777777" w:rsidR="004566A6" w:rsidRPr="006E4775" w:rsidRDefault="00BA2FE6" w:rsidP="004566A6">
            <w:pPr>
              <w:rPr>
                <w:rFonts w:ascii="Garamond" w:hAnsi="Garamond"/>
                <w:sz w:val="16"/>
                <w:szCs w:val="16"/>
              </w:rPr>
            </w:pPr>
            <w:r w:rsidRPr="006E4775">
              <w:rPr>
                <w:rFonts w:ascii="Garamond" w:hAnsi="Garamond"/>
                <w:sz w:val="16"/>
                <w:szCs w:val="16"/>
              </w:rPr>
              <w:t>13-15 años</w:t>
            </w:r>
          </w:p>
          <w:p w14:paraId="7B7BFA96" w14:textId="5DA7F767" w:rsidR="00CC53F7" w:rsidRPr="006E4775" w:rsidRDefault="00CC53F7" w:rsidP="004566A6">
            <w:pPr>
              <w:rPr>
                <w:rFonts w:ascii="Garamond" w:hAnsi="Garamond"/>
                <w:sz w:val="16"/>
                <w:szCs w:val="16"/>
              </w:rPr>
            </w:pPr>
            <w:r w:rsidRPr="006E4775">
              <w:rPr>
                <w:rFonts w:ascii="Garamond" w:hAnsi="Garamond"/>
                <w:sz w:val="16"/>
                <w:szCs w:val="16"/>
              </w:rPr>
              <w:t>16-18 años</w:t>
            </w:r>
          </w:p>
        </w:tc>
        <w:tc>
          <w:tcPr>
            <w:tcW w:w="1417" w:type="dxa"/>
          </w:tcPr>
          <w:p w14:paraId="7FCC368D" w14:textId="33EE02AD" w:rsidR="004566A6" w:rsidRPr="006E4775" w:rsidRDefault="00820F66" w:rsidP="004566A6">
            <w:pPr>
              <w:rPr>
                <w:rFonts w:ascii="Garamond" w:hAnsi="Garamond"/>
                <w:sz w:val="16"/>
                <w:szCs w:val="16"/>
              </w:rPr>
            </w:pPr>
            <w:r w:rsidRPr="006E4775">
              <w:rPr>
                <w:rFonts w:ascii="Garamond" w:hAnsi="Garamond"/>
                <w:sz w:val="16"/>
                <w:szCs w:val="16"/>
              </w:rPr>
              <w:t>13-16 años</w:t>
            </w:r>
          </w:p>
        </w:tc>
        <w:tc>
          <w:tcPr>
            <w:tcW w:w="1559" w:type="dxa"/>
            <w:shd w:val="clear" w:color="auto" w:fill="F7CAAC" w:themeFill="accent2" w:themeFillTint="66"/>
          </w:tcPr>
          <w:p w14:paraId="5855A8DF" w14:textId="484A0417" w:rsidR="004566A6" w:rsidRPr="006E4775" w:rsidRDefault="005C2D5D" w:rsidP="004566A6">
            <w:pPr>
              <w:rPr>
                <w:rFonts w:ascii="Garamond" w:hAnsi="Garamond"/>
                <w:sz w:val="16"/>
                <w:szCs w:val="16"/>
              </w:rPr>
            </w:pPr>
            <w:r w:rsidRPr="006E4775">
              <w:rPr>
                <w:rFonts w:ascii="Garamond" w:hAnsi="Garamond"/>
                <w:sz w:val="16"/>
                <w:szCs w:val="16"/>
              </w:rPr>
              <w:t>14-18 años</w:t>
            </w:r>
          </w:p>
        </w:tc>
      </w:tr>
    </w:tbl>
    <w:bookmarkEnd w:id="4"/>
    <w:p w14:paraId="7ADC3F61" w14:textId="2E7EAD1C" w:rsidR="00296630" w:rsidRPr="006E4775" w:rsidRDefault="00296630" w:rsidP="00296630">
      <w:pPr>
        <w:rPr>
          <w:rFonts w:ascii="Garamond" w:hAnsi="Garamond"/>
          <w:sz w:val="18"/>
          <w:szCs w:val="18"/>
        </w:rPr>
        <w:sectPr w:rsidR="00296630" w:rsidRPr="006E4775" w:rsidSect="00296630">
          <w:pgSz w:w="15840" w:h="12240" w:orient="landscape"/>
          <w:pgMar w:top="1701" w:right="1418" w:bottom="1701" w:left="1418" w:header="709" w:footer="709" w:gutter="0"/>
          <w:pgNumType w:start="1"/>
          <w:cols w:space="720"/>
        </w:sectPr>
      </w:pPr>
      <w:r w:rsidRPr="006E4775">
        <w:rPr>
          <w:rFonts w:ascii="Garamond" w:hAnsi="Garamond"/>
          <w:sz w:val="18"/>
          <w:szCs w:val="18"/>
        </w:rPr>
        <w:t>Fuente: Elaboración propia</w:t>
      </w:r>
    </w:p>
    <w:p w14:paraId="67BE3756" w14:textId="77777777" w:rsidR="008309A1" w:rsidRPr="006E4775" w:rsidRDefault="008309A1" w:rsidP="008309A1">
      <w:pPr>
        <w:pStyle w:val="Ttulo2"/>
      </w:pPr>
      <w:bookmarkStart w:id="5" w:name="_Toc108799416"/>
      <w:r w:rsidRPr="006E4775">
        <w:lastRenderedPageBreak/>
        <w:t>Colombia</w:t>
      </w:r>
      <w:bookmarkEnd w:id="5"/>
    </w:p>
    <w:p w14:paraId="075DD203" w14:textId="77777777" w:rsidR="008309A1" w:rsidRPr="006E4775" w:rsidRDefault="008309A1" w:rsidP="008309A1">
      <w:pPr>
        <w:pStyle w:val="Ttulo3"/>
      </w:pPr>
      <w:bookmarkStart w:id="6" w:name="_Toc108799417"/>
      <w:r w:rsidRPr="006E4775">
        <w:rPr>
          <w:noProof/>
        </w:rPr>
        <w:drawing>
          <wp:anchor distT="0" distB="0" distL="114300" distR="114300" simplePos="0" relativeHeight="251678720" behindDoc="1" locked="0" layoutInCell="1" allowOverlap="1" wp14:anchorId="4F1680F9" wp14:editId="335F0F3A">
            <wp:simplePos x="0" y="0"/>
            <wp:positionH relativeFrom="margin">
              <wp:posOffset>2063115</wp:posOffset>
            </wp:positionH>
            <wp:positionV relativeFrom="paragraph">
              <wp:posOffset>129540</wp:posOffset>
            </wp:positionV>
            <wp:extent cx="3543300" cy="3057525"/>
            <wp:effectExtent l="0" t="0" r="0" b="9525"/>
            <wp:wrapTight wrapText="bothSides">
              <wp:wrapPolygon edited="0">
                <wp:start x="0" y="0"/>
                <wp:lineTo x="0" y="21533"/>
                <wp:lineTo x="21484" y="21533"/>
                <wp:lineTo x="21484" y="0"/>
                <wp:lineTo x="0" y="0"/>
              </wp:wrapPolygon>
            </wp:wrapTight>
            <wp:docPr id="6" name="image5.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6" name="image5.png" descr="Mapa&#10;&#10;Descripción generada automáticamente"/>
                    <pic:cNvPicPr preferRelativeResize="0"/>
                  </pic:nvPicPr>
                  <pic:blipFill>
                    <a:blip r:embed="rId13" cstate="print">
                      <a:extLst>
                        <a:ext uri="{28A0092B-C50C-407E-A947-70E740481C1C}">
                          <a14:useLocalDpi xmlns:a14="http://schemas.microsoft.com/office/drawing/2010/main" val="0"/>
                        </a:ext>
                      </a:extLst>
                    </a:blip>
                    <a:srcRect r="2275" b="1329"/>
                    <a:stretch>
                      <a:fillRect/>
                    </a:stretch>
                  </pic:blipFill>
                  <pic:spPr>
                    <a:xfrm>
                      <a:off x="0" y="0"/>
                      <a:ext cx="3543300" cy="3057525"/>
                    </a:xfrm>
                    <a:prstGeom prst="rect">
                      <a:avLst/>
                    </a:prstGeom>
                    <a:ln/>
                  </pic:spPr>
                </pic:pic>
              </a:graphicData>
            </a:graphic>
            <wp14:sizeRelH relativeFrom="margin">
              <wp14:pctWidth>0</wp14:pctWidth>
            </wp14:sizeRelH>
          </wp:anchor>
        </w:drawing>
      </w:r>
      <w:r w:rsidRPr="006E4775">
        <w:t>Datos sociodemográficos</w:t>
      </w:r>
      <w:bookmarkEnd w:id="6"/>
      <w:r w:rsidRPr="006E4775">
        <w:rPr>
          <w:noProof/>
        </w:rPr>
        <w:t xml:space="preserve"> </w:t>
      </w:r>
    </w:p>
    <w:p w14:paraId="354E628E" w14:textId="77777777"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Población</w:t>
      </w:r>
      <w:r w:rsidRPr="006E4775">
        <w:rPr>
          <w:rFonts w:ascii="Garamond" w:hAnsi="Garamond"/>
          <w:i/>
        </w:rPr>
        <w:t>:</w:t>
      </w:r>
      <w:r w:rsidRPr="006E4775">
        <w:rPr>
          <w:rFonts w:ascii="Garamond" w:hAnsi="Garamond"/>
        </w:rPr>
        <w:t xml:space="preserve"> 51.265.841 (Banco mundial, 2021)</w:t>
      </w:r>
    </w:p>
    <w:p w14:paraId="1B27B489" w14:textId="77777777"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Porcentaje de NNAJ</w:t>
      </w:r>
      <w:r w:rsidRPr="006E4775">
        <w:rPr>
          <w:rFonts w:ascii="Garamond" w:hAnsi="Garamond"/>
          <w:i/>
        </w:rPr>
        <w:t xml:space="preserve">: </w:t>
      </w:r>
      <w:r w:rsidRPr="006E4775">
        <w:rPr>
          <w:rFonts w:ascii="Garamond" w:hAnsi="Garamond"/>
        </w:rPr>
        <w:t>31,02% al 2017 (UNICEF Colombia, 27 de mayo del 2019). Asimismo, del total de la población, el 25% es menor de 15 años (PNUD, 2020 citado en Ministerio de asuntos exteriores unión europea y cooperación, 2022)</w:t>
      </w:r>
    </w:p>
    <w:p w14:paraId="5D45A22A" w14:textId="77777777"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Idioma</w:t>
      </w:r>
      <w:r w:rsidRPr="006E4775">
        <w:rPr>
          <w:rFonts w:ascii="Garamond" w:hAnsi="Garamond"/>
          <w:i/>
        </w:rPr>
        <w:t xml:space="preserve">: </w:t>
      </w:r>
      <w:r w:rsidRPr="006E4775">
        <w:rPr>
          <w:rFonts w:ascii="Garamond" w:hAnsi="Garamond"/>
        </w:rPr>
        <w:t>Español, así como las lenguas y dialectos de los grupos étnicos.</w:t>
      </w:r>
    </w:p>
    <w:p w14:paraId="536B2084" w14:textId="00B2A0C4"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PIB</w:t>
      </w:r>
      <w:r w:rsidRPr="006E4775">
        <w:rPr>
          <w:rFonts w:ascii="Garamond" w:hAnsi="Garamond"/>
          <w:i/>
        </w:rPr>
        <w:t>:</w:t>
      </w:r>
      <w:r w:rsidR="00AD3F24">
        <w:rPr>
          <w:rFonts w:ascii="Garamond" w:hAnsi="Garamond"/>
          <w:i/>
        </w:rPr>
        <w:t xml:space="preserve"> US$314.32</w:t>
      </w:r>
      <w:r w:rsidRPr="006E4775">
        <w:rPr>
          <w:rFonts w:ascii="Garamond" w:hAnsi="Garamond"/>
        </w:rPr>
        <w:t xml:space="preserve"> miles de millones al 2021 (Banco Mundial, 2021)</w:t>
      </w:r>
    </w:p>
    <w:p w14:paraId="4FCB3A13" w14:textId="6860732B"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PIB per cápita</w:t>
      </w:r>
      <w:r w:rsidR="00B90F58">
        <w:rPr>
          <w:rFonts w:ascii="Garamond" w:hAnsi="Garamond"/>
          <w:b/>
          <w:bCs/>
          <w:i/>
        </w:rPr>
        <w:t xml:space="preserve">: </w:t>
      </w:r>
      <w:r w:rsidR="00B90F58" w:rsidRPr="00C9762A">
        <w:rPr>
          <w:rFonts w:ascii="Garamond" w:hAnsi="Garamond"/>
          <w:iCs/>
        </w:rPr>
        <w:t xml:space="preserve">US$ 6.131,2 </w:t>
      </w:r>
      <w:r w:rsidR="00C9762A" w:rsidRPr="00C9762A">
        <w:rPr>
          <w:rFonts w:ascii="Garamond" w:hAnsi="Garamond"/>
          <w:iCs/>
        </w:rPr>
        <w:t>(Banco Mundial, 2021)</w:t>
      </w:r>
    </w:p>
    <w:p w14:paraId="427FC7BD" w14:textId="358A4F25"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Nivel de pobreza</w:t>
      </w:r>
      <w:r w:rsidRPr="006E4775">
        <w:rPr>
          <w:rFonts w:ascii="Garamond" w:hAnsi="Garamond"/>
          <w:i/>
        </w:rPr>
        <w:t xml:space="preserve">: </w:t>
      </w:r>
      <w:r w:rsidRPr="006E4775">
        <w:rPr>
          <w:rFonts w:ascii="Garamond" w:hAnsi="Garamond"/>
        </w:rPr>
        <w:t>10,3 % (Banco Mundial, 2020)</w:t>
      </w:r>
    </w:p>
    <w:p w14:paraId="3B1E7986" w14:textId="77777777"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Índice de desarrollo humano</w:t>
      </w:r>
      <w:r w:rsidRPr="006E4775">
        <w:rPr>
          <w:rFonts w:ascii="Garamond" w:hAnsi="Garamond"/>
          <w:i/>
        </w:rPr>
        <w:t xml:space="preserve">: </w:t>
      </w:r>
      <w:r w:rsidRPr="006E4775">
        <w:rPr>
          <w:rFonts w:ascii="Garamond" w:hAnsi="Garamond"/>
        </w:rPr>
        <w:t>0,767 (PNUD, 2019). Durante el 2020 el índice de 0.767 se ubicó en el lugar 83 de 189(Ministerio de asuntos exteriores unión europea y cooperación, 2022a).</w:t>
      </w:r>
    </w:p>
    <w:p w14:paraId="1B28D7AF" w14:textId="77777777" w:rsidR="008309A1" w:rsidRPr="006E4775" w:rsidRDefault="008309A1" w:rsidP="008309A1">
      <w:pPr>
        <w:pStyle w:val="Prrafodelista"/>
        <w:numPr>
          <w:ilvl w:val="0"/>
          <w:numId w:val="4"/>
        </w:numPr>
        <w:spacing w:line="276" w:lineRule="auto"/>
        <w:ind w:left="584" w:hanging="357"/>
        <w:jc w:val="both"/>
        <w:rPr>
          <w:rFonts w:ascii="Garamond" w:hAnsi="Garamond"/>
          <w:iCs/>
        </w:rPr>
      </w:pPr>
      <w:r w:rsidRPr="006E4775">
        <w:rPr>
          <w:rFonts w:ascii="Garamond" w:hAnsi="Garamond"/>
          <w:b/>
          <w:bCs/>
          <w:i/>
        </w:rPr>
        <w:t xml:space="preserve">Desempleo (% de población activa total): </w:t>
      </w:r>
      <w:r w:rsidRPr="006E4775">
        <w:rPr>
          <w:rFonts w:ascii="Garamond" w:hAnsi="Garamond"/>
          <w:iCs/>
        </w:rPr>
        <w:t>14,3% (Banco mundial, 2021)</w:t>
      </w:r>
    </w:p>
    <w:p w14:paraId="08E70B6D" w14:textId="77777777"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Esperanza de vida al nacer:</w:t>
      </w:r>
      <w:r w:rsidRPr="006E4775">
        <w:rPr>
          <w:rFonts w:ascii="Garamond" w:hAnsi="Garamond"/>
        </w:rPr>
        <w:t xml:space="preserve"> 77 años (Banco Mundial, 2020)</w:t>
      </w:r>
    </w:p>
    <w:p w14:paraId="22AE0694" w14:textId="77777777"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 xml:space="preserve">Tasa de homicidios intencionales (por cada 100.000 habitantes): </w:t>
      </w:r>
      <w:r w:rsidRPr="006E4775">
        <w:rPr>
          <w:rFonts w:ascii="Garamond" w:hAnsi="Garamond"/>
          <w:iCs/>
        </w:rPr>
        <w:t xml:space="preserve">23 </w:t>
      </w:r>
      <w:r w:rsidRPr="006E4775">
        <w:rPr>
          <w:rFonts w:ascii="Garamond" w:hAnsi="Garamond"/>
        </w:rPr>
        <w:t>(Banco Mundial, 2020)</w:t>
      </w:r>
    </w:p>
    <w:p w14:paraId="093F152A" w14:textId="160B0DB8" w:rsidR="008309A1" w:rsidRPr="006E4775" w:rsidRDefault="008309A1" w:rsidP="008309A1">
      <w:pPr>
        <w:pStyle w:val="Prrafodelista"/>
        <w:numPr>
          <w:ilvl w:val="0"/>
          <w:numId w:val="4"/>
        </w:numPr>
        <w:spacing w:line="276" w:lineRule="auto"/>
        <w:ind w:left="584" w:hanging="357"/>
        <w:jc w:val="both"/>
        <w:rPr>
          <w:rFonts w:ascii="Garamond" w:hAnsi="Garamond"/>
        </w:rPr>
      </w:pPr>
      <w:r w:rsidRPr="006E4775">
        <w:rPr>
          <w:rFonts w:ascii="Garamond" w:hAnsi="Garamond"/>
          <w:b/>
          <w:bCs/>
          <w:i/>
        </w:rPr>
        <w:t>Migración</w:t>
      </w:r>
      <w:r w:rsidRPr="006E4775">
        <w:rPr>
          <w:rFonts w:ascii="Garamond" w:hAnsi="Garamond"/>
          <w:b/>
          <w:bCs/>
          <w:iCs/>
        </w:rPr>
        <w:t xml:space="preserve"> </w:t>
      </w:r>
      <w:r w:rsidRPr="006E4775">
        <w:rPr>
          <w:rFonts w:ascii="Garamond" w:hAnsi="Garamond"/>
          <w:b/>
          <w:bCs/>
          <w:i/>
          <w:iCs/>
        </w:rPr>
        <w:t>neta:</w:t>
      </w:r>
      <w:r w:rsidRPr="006E4775">
        <w:rPr>
          <w:rFonts w:ascii="Garamond" w:hAnsi="Garamond"/>
        </w:rPr>
        <w:t xml:space="preserve"> 1.023.981 (Banco Mundial, 2017). </w:t>
      </w:r>
    </w:p>
    <w:p w14:paraId="541BA4FA" w14:textId="77777777" w:rsidR="008309A1" w:rsidRPr="006E4775" w:rsidRDefault="008309A1" w:rsidP="00E62E0D">
      <w:pPr>
        <w:pStyle w:val="Ttulo3"/>
      </w:pPr>
      <w:bookmarkStart w:id="7" w:name="_Toc108799418"/>
      <w:r w:rsidRPr="006E4775">
        <w:t>Descripción fenómeno migratorio del país</w:t>
      </w:r>
      <w:bookmarkEnd w:id="7"/>
    </w:p>
    <w:p w14:paraId="4394F7EA" w14:textId="77777777" w:rsidR="008309A1" w:rsidRPr="006E4775" w:rsidRDefault="008309A1" w:rsidP="008309A1">
      <w:pPr>
        <w:spacing w:line="276" w:lineRule="auto"/>
        <w:jc w:val="both"/>
        <w:rPr>
          <w:rFonts w:ascii="Garamond" w:hAnsi="Garamond"/>
        </w:rPr>
      </w:pPr>
      <w:r w:rsidRPr="006E4775">
        <w:rPr>
          <w:rFonts w:ascii="Garamond" w:hAnsi="Garamond"/>
        </w:rPr>
        <w:t>Para el caso colombiano, lo más común en términos de cifras es reportar los movimientos de quienes viajan hacia el exterior (DANE, 2019). Para el año 2019, de los 16.646.547 de movimientos internacionales realizados, 52% corresponde a población colombiana y un 48% a personas de otros países (DANE, 2019). Cabe destacar que, en lo que respecta a la emigración colombiana, se presenta una clara tendencia de presencia femenina (53%) que masculina (47%) (DANE, 2019).</w:t>
      </w:r>
    </w:p>
    <w:p w14:paraId="44F7B7D4" w14:textId="77777777" w:rsidR="008309A1" w:rsidRPr="006E4775" w:rsidRDefault="008309A1" w:rsidP="008309A1">
      <w:pPr>
        <w:spacing w:line="276" w:lineRule="auto"/>
        <w:jc w:val="both"/>
        <w:rPr>
          <w:rFonts w:ascii="Garamond" w:hAnsi="Garamond"/>
        </w:rPr>
      </w:pPr>
      <w:r w:rsidRPr="006E4775">
        <w:rPr>
          <w:rFonts w:ascii="Garamond" w:hAnsi="Garamond"/>
        </w:rPr>
        <w:t>Diferentes fuentes constatan que el principal motivo de migración hacia otros países es económico-laboral, tendencia que es identificada desde la década del 2000 (Mejía, 2012; OIM, 2010). Asimismo, se complementa con un estudio en el cual se especifica por medio de métodos estadísticos avanzados los determinantes de la migración (</w:t>
      </w:r>
      <w:proofErr w:type="spellStart"/>
      <w:r w:rsidRPr="006E4775">
        <w:rPr>
          <w:rFonts w:ascii="Garamond" w:hAnsi="Garamond"/>
        </w:rPr>
        <w:t>Larotta</w:t>
      </w:r>
      <w:proofErr w:type="spellEnd"/>
      <w:r w:rsidRPr="006E4775">
        <w:rPr>
          <w:rFonts w:ascii="Garamond" w:hAnsi="Garamond"/>
        </w:rPr>
        <w:t xml:space="preserve">, 2019). En tal estudio, después de realizar un análisis gravitacional, se concluye que determinantes como: “las condiciones socioeconómicas favorables del lugar de destino, un alto nivel educativo y un mayor capital humano acumulado potencian las movilidades (...) [mientras </w:t>
      </w:r>
      <w:r w:rsidRPr="006E4775">
        <w:rPr>
          <w:rFonts w:ascii="Garamond" w:hAnsi="Garamond"/>
        </w:rPr>
        <w:lastRenderedPageBreak/>
        <w:t>que] la distancia física, las redes de apoyo y las políticas migratorias juegan un papel preponderante en la configuración de patrones de movilidad” (</w:t>
      </w:r>
      <w:proofErr w:type="spellStart"/>
      <w:r w:rsidRPr="006E4775">
        <w:rPr>
          <w:rFonts w:ascii="Garamond" w:hAnsi="Garamond"/>
        </w:rPr>
        <w:t>Larotta</w:t>
      </w:r>
      <w:proofErr w:type="spellEnd"/>
      <w:r w:rsidRPr="006E4775">
        <w:rPr>
          <w:rFonts w:ascii="Garamond" w:hAnsi="Garamond"/>
        </w:rPr>
        <w:t>, 2019, p. 70).</w:t>
      </w:r>
    </w:p>
    <w:p w14:paraId="6E542877" w14:textId="77777777" w:rsidR="008309A1" w:rsidRPr="006E4775" w:rsidRDefault="008309A1" w:rsidP="008309A1">
      <w:pPr>
        <w:spacing w:line="276" w:lineRule="auto"/>
        <w:jc w:val="both"/>
        <w:rPr>
          <w:rFonts w:ascii="Garamond" w:hAnsi="Garamond"/>
        </w:rPr>
      </w:pPr>
      <w:r w:rsidRPr="006E4775">
        <w:rPr>
          <w:rFonts w:ascii="Garamond" w:hAnsi="Garamond"/>
        </w:rPr>
        <w:t>Dicho esto, el conflicto armado colombiano configura un fenómeno migratorio en su propio mérito. Este fenómeno migratorio se caracteriza por ser un flujo, en primer lugar, de desplazamiento interno de la población (Morales y Morales, 2016). Solo en la segunda década del siglo XX las personas desplazadas internamente por motivo del conflicto armado superaron el millón de personas (Morales y Morales, 2016). Adicionalmente, los flujos migratorios al exterior se caracterizan por ser entendidos bajo la figura de desplazamiento forzoso o refugio, en un contexto de migración transfronteriza que involucra a los países vecinos de Ecuador y Venezuela (Niño, 1999; Gómez, Astaiza y Souza, 2008; González, 2013; Morales y Morales, 2016).</w:t>
      </w:r>
    </w:p>
    <w:p w14:paraId="2DA13F03" w14:textId="77777777" w:rsidR="008309A1" w:rsidRPr="006E4775" w:rsidRDefault="008309A1" w:rsidP="008309A1">
      <w:pPr>
        <w:spacing w:line="276" w:lineRule="auto"/>
        <w:jc w:val="both"/>
        <w:rPr>
          <w:rFonts w:ascii="Garamond" w:hAnsi="Garamond"/>
        </w:rPr>
      </w:pPr>
      <w:r w:rsidRPr="006E4775">
        <w:rPr>
          <w:rFonts w:ascii="Garamond" w:hAnsi="Garamond"/>
        </w:rPr>
        <w:t>Finalmente, respecto al flujo migratorio que llega a Chile, se observa que, en el caso colombiano, de manera similar al peruano, los motivos que enarbolan los contingentes de personas que llegan al país son económicos y laborales (Martínez, 2011). No obstante, en el caso colombiano también se observa un contingente de personas que llegan por motivos del conflicto armado, por lo cual se puede establecer que a nuestro país se establecen flujos mixtos de migración (Martínez, 2011).</w:t>
      </w:r>
    </w:p>
    <w:p w14:paraId="1DFB3194" w14:textId="77777777" w:rsidR="008309A1" w:rsidRPr="006E4775" w:rsidRDefault="008309A1" w:rsidP="00E62E0D">
      <w:pPr>
        <w:pStyle w:val="Ttulo3"/>
      </w:pPr>
      <w:bookmarkStart w:id="8" w:name="_Toc108799419"/>
      <w:r w:rsidRPr="006E4775">
        <w:t>Descripción sobre instituciones importantes</w:t>
      </w:r>
      <w:bookmarkEnd w:id="8"/>
    </w:p>
    <w:p w14:paraId="48A9CC4A" w14:textId="77777777" w:rsidR="008309A1" w:rsidRPr="006E4775" w:rsidRDefault="008309A1" w:rsidP="00E62E0D">
      <w:pPr>
        <w:pStyle w:val="Ttulo4"/>
      </w:pPr>
      <w:r w:rsidRPr="006E4775">
        <w:t>Unidades administrativas</w:t>
      </w:r>
    </w:p>
    <w:p w14:paraId="350EFE56" w14:textId="77777777" w:rsidR="008309A1" w:rsidRPr="006E4775" w:rsidRDefault="008309A1" w:rsidP="008309A1">
      <w:pPr>
        <w:spacing w:line="276" w:lineRule="auto"/>
        <w:jc w:val="both"/>
        <w:rPr>
          <w:rFonts w:ascii="Garamond" w:hAnsi="Garamond"/>
        </w:rPr>
      </w:pPr>
      <w:r w:rsidRPr="006E4775">
        <w:rPr>
          <w:rFonts w:ascii="Garamond" w:hAnsi="Garamond"/>
        </w:rPr>
        <w:t xml:space="preserve">Colombia se organiza en distritos, departamentos, municipios y territorios indígenas (Constitución Política de Colombia, 1991). Actualmente existen 5 distritos, 32 departamentos y 1123 municipios (Gobierno de Colombia, s. f.). No se encuentran datos oficiales de lo que se establecen como territorios indígenas. </w:t>
      </w:r>
    </w:p>
    <w:p w14:paraId="1B3FFFB6" w14:textId="77777777" w:rsidR="008309A1" w:rsidRPr="006E4775" w:rsidRDefault="008309A1" w:rsidP="008309A1">
      <w:pPr>
        <w:pStyle w:val="Ttulo4"/>
      </w:pPr>
      <w:r w:rsidRPr="006E4775">
        <w:t>Sistema de justicia juvenil</w:t>
      </w:r>
    </w:p>
    <w:p w14:paraId="0141B420" w14:textId="77777777" w:rsidR="008309A1" w:rsidRPr="006E4775" w:rsidRDefault="008309A1" w:rsidP="008309A1">
      <w:pPr>
        <w:spacing w:line="276" w:lineRule="auto"/>
        <w:jc w:val="both"/>
        <w:rPr>
          <w:rFonts w:ascii="Garamond" w:hAnsi="Garamond"/>
        </w:rPr>
      </w:pPr>
      <w:r w:rsidRPr="006E4775">
        <w:rPr>
          <w:rFonts w:ascii="Garamond" w:hAnsi="Garamond"/>
        </w:rPr>
        <w:t xml:space="preserve">En Colombia, existe el Sistema de Responsabilidad Penal Adolescente (SRPA) es dependiente del Ministerio de Justicia y del Derecho. Asimismo, este sistema es coordinado y articulado institucionalmente por el Sistema Nacional de Coordinación. </w:t>
      </w:r>
    </w:p>
    <w:p w14:paraId="50A7DC48" w14:textId="77777777" w:rsidR="008309A1" w:rsidRPr="006E4775" w:rsidRDefault="008309A1" w:rsidP="008309A1">
      <w:pPr>
        <w:spacing w:line="276" w:lineRule="auto"/>
        <w:jc w:val="both"/>
        <w:rPr>
          <w:rFonts w:ascii="Garamond" w:hAnsi="Garamond"/>
        </w:rPr>
      </w:pPr>
      <w:r w:rsidRPr="006E4775">
        <w:rPr>
          <w:rFonts w:ascii="Garamond" w:hAnsi="Garamond"/>
        </w:rPr>
        <w:t>Este sistema se rige por la Ley 1098 también conocida como Código de la Infancia y la Adolescencia, cuyo fin es “garantizar a los niños, a las niñas y a los adolescentes su pleno y armonioso desarrollo para que crezcan en el seno de la familia y de la comunidad” (Código de la Infancia y la Adolescencia, 2006). Para efectos de esta ley en su artículo 139, el sistema de justicia juvenil acoge los casos de infracción de la ley en jóvenes entre 14 a 18 años de edad (Código de la Infancia y la Adolescencia, 2006), y contempla procesos judiciales como de restablecimiento de derechos (Ruiz-Hernández, 2011 citado en Torres y Rojas, 2013).</w:t>
      </w:r>
    </w:p>
    <w:p w14:paraId="52BA99E3" w14:textId="77777777" w:rsidR="008309A1" w:rsidRPr="006E4775" w:rsidRDefault="008309A1" w:rsidP="008309A1">
      <w:pPr>
        <w:spacing w:line="276" w:lineRule="auto"/>
        <w:jc w:val="both"/>
        <w:rPr>
          <w:rFonts w:ascii="Garamond" w:hAnsi="Garamond"/>
        </w:rPr>
      </w:pPr>
      <w:r w:rsidRPr="006E4775">
        <w:rPr>
          <w:rFonts w:ascii="Garamond" w:hAnsi="Garamond"/>
        </w:rPr>
        <w:t xml:space="preserve">Finalmente, en la legislación sobre justicia juvenil colombiana, se presenta una oferta orientada a la atención de niñas y niños vinculados a grupos armados no imputables penalmente (UNICEF, 2016, p. 20). Esto se hace a través del Programa de desmovilización y reinserción sociofamiliar, dirigido a NNA menores de edad que abandonaron las filas de la guerrilla o están en zonas con mayor riesgo de reclutamiento (UNICEF, 2016, p. 20). </w:t>
      </w:r>
    </w:p>
    <w:p w14:paraId="5BAE75B3" w14:textId="77777777" w:rsidR="008309A1" w:rsidRPr="006E4775" w:rsidRDefault="008309A1" w:rsidP="008309A1">
      <w:pPr>
        <w:pStyle w:val="Ttulo3"/>
      </w:pPr>
      <w:bookmarkStart w:id="9" w:name="_Toc108799420"/>
      <w:r w:rsidRPr="006E4775">
        <w:lastRenderedPageBreak/>
        <w:t>Embajada y Consulados en Chile</w:t>
      </w:r>
      <w:bookmarkEnd w:id="9"/>
    </w:p>
    <w:p w14:paraId="4EE644DE" w14:textId="77777777" w:rsidR="008309A1" w:rsidRPr="006E4775" w:rsidRDefault="008309A1" w:rsidP="008309A1">
      <w:pPr>
        <w:spacing w:line="276" w:lineRule="auto"/>
        <w:jc w:val="both"/>
        <w:rPr>
          <w:rFonts w:ascii="Garamond" w:hAnsi="Garamond"/>
        </w:rPr>
      </w:pPr>
      <w:r w:rsidRPr="006E4775">
        <w:rPr>
          <w:rFonts w:ascii="Garamond" w:hAnsi="Garamond"/>
        </w:rPr>
        <w:t>A la fecha (2022), existe una embajada y 2 consulados:</w:t>
      </w:r>
    </w:p>
    <w:p w14:paraId="72ECE79D" w14:textId="77777777" w:rsidR="008309A1" w:rsidRPr="006E4775" w:rsidRDefault="008309A1" w:rsidP="008309A1">
      <w:pPr>
        <w:spacing w:line="276" w:lineRule="auto"/>
        <w:jc w:val="both"/>
        <w:rPr>
          <w:rFonts w:ascii="Garamond" w:hAnsi="Garamond"/>
          <w:b/>
          <w:bCs/>
        </w:rPr>
      </w:pPr>
      <w:r w:rsidRPr="006E4775">
        <w:rPr>
          <w:rFonts w:ascii="Garamond" w:hAnsi="Garamond"/>
          <w:b/>
          <w:bCs/>
        </w:rPr>
        <w:t xml:space="preserve">Región Metropolitana: </w:t>
      </w:r>
    </w:p>
    <w:p w14:paraId="057E729E" w14:textId="77777777" w:rsidR="008309A1" w:rsidRPr="006E4775" w:rsidRDefault="008309A1" w:rsidP="008309A1">
      <w:pPr>
        <w:pStyle w:val="Prrafodelista"/>
        <w:numPr>
          <w:ilvl w:val="0"/>
          <w:numId w:val="8"/>
        </w:numPr>
        <w:spacing w:line="276" w:lineRule="auto"/>
        <w:jc w:val="both"/>
        <w:rPr>
          <w:rFonts w:ascii="Garamond" w:hAnsi="Garamond"/>
        </w:rPr>
      </w:pPr>
      <w:r w:rsidRPr="006E4775">
        <w:rPr>
          <w:rFonts w:ascii="Garamond" w:hAnsi="Garamond"/>
        </w:rPr>
        <w:t xml:space="preserve">Embajada: Los Militares 5885, Tercer Piso, Las Condes Santiago. Teléfono: (56- 2) 22206273 - 22243585 – 22291898. Correo: </w:t>
      </w:r>
      <w:hyperlink r:id="rId14">
        <w:r w:rsidRPr="006E4775">
          <w:rPr>
            <w:rFonts w:ascii="Garamond" w:hAnsi="Garamond"/>
            <w:color w:val="1155CC"/>
            <w:u w:val="single"/>
          </w:rPr>
          <w:t>echile@cancilleria.gov.co</w:t>
        </w:r>
      </w:hyperlink>
    </w:p>
    <w:p w14:paraId="5EFFBF2F" w14:textId="77777777" w:rsidR="008309A1" w:rsidRPr="006E4775" w:rsidRDefault="008309A1" w:rsidP="008309A1">
      <w:pPr>
        <w:pStyle w:val="Prrafodelista"/>
        <w:numPr>
          <w:ilvl w:val="0"/>
          <w:numId w:val="8"/>
        </w:numPr>
        <w:spacing w:line="276" w:lineRule="auto"/>
        <w:jc w:val="both"/>
        <w:rPr>
          <w:rFonts w:ascii="Garamond" w:hAnsi="Garamond"/>
        </w:rPr>
      </w:pPr>
      <w:r w:rsidRPr="006E4775">
        <w:rPr>
          <w:rFonts w:ascii="Garamond" w:hAnsi="Garamond"/>
        </w:rPr>
        <w:t xml:space="preserve">Consulado: Av. Andrés Bello 2211, </w:t>
      </w:r>
      <w:proofErr w:type="spellStart"/>
      <w:r w:rsidRPr="006E4775">
        <w:rPr>
          <w:rFonts w:ascii="Garamond" w:hAnsi="Garamond"/>
        </w:rPr>
        <w:t>Of</w:t>
      </w:r>
      <w:proofErr w:type="spellEnd"/>
      <w:r w:rsidRPr="006E4775">
        <w:rPr>
          <w:rFonts w:ascii="Garamond" w:hAnsi="Garamond"/>
        </w:rPr>
        <w:t>. 103, Comuna de Providencia</w:t>
      </w:r>
      <w:r w:rsidRPr="006E4775">
        <w:rPr>
          <w:rFonts w:ascii="Garamond" w:hAnsi="Garamond"/>
        </w:rPr>
        <w:br/>
        <w:t>Número: 56 (2) 2371 0740 / 41 / 42 - Emergencias 56 953085617</w:t>
      </w:r>
      <w:r w:rsidRPr="006E4775">
        <w:rPr>
          <w:rFonts w:ascii="Garamond" w:hAnsi="Garamond"/>
        </w:rPr>
        <w:br/>
        <w:t xml:space="preserve">Correo: </w:t>
      </w:r>
      <w:hyperlink r:id="rId15">
        <w:r w:rsidRPr="006E4775">
          <w:rPr>
            <w:rFonts w:ascii="Garamond" w:hAnsi="Garamond"/>
            <w:color w:val="1155CC"/>
            <w:u w:val="single"/>
          </w:rPr>
          <w:t>csantiago@cancilleria.</w:t>
        </w:r>
      </w:hyperlink>
      <w:hyperlink r:id="rId16">
        <w:r w:rsidRPr="006E4775">
          <w:rPr>
            <w:rFonts w:ascii="Garamond" w:hAnsi="Garamond"/>
            <w:color w:val="1155CC"/>
            <w:u w:val="single"/>
          </w:rPr>
          <w:t>gov</w:t>
        </w:r>
      </w:hyperlink>
      <w:hyperlink r:id="rId17">
        <w:r w:rsidRPr="006E4775">
          <w:rPr>
            <w:rFonts w:ascii="Garamond" w:hAnsi="Garamond"/>
            <w:color w:val="1155CC"/>
            <w:u w:val="single"/>
          </w:rPr>
          <w:t>.co</w:t>
        </w:r>
      </w:hyperlink>
      <w:r w:rsidRPr="006E4775">
        <w:rPr>
          <w:rFonts w:ascii="Garamond" w:hAnsi="Garamond"/>
          <w:color w:val="1155CC"/>
          <w:u w:val="single"/>
        </w:rPr>
        <w:t xml:space="preserve">. </w:t>
      </w:r>
      <w:r w:rsidRPr="006E4775">
        <w:rPr>
          <w:rFonts w:ascii="Garamond" w:hAnsi="Garamond"/>
        </w:rPr>
        <w:t>Página web:</w:t>
      </w:r>
      <w:r w:rsidRPr="006E4775">
        <w:rPr>
          <w:rFonts w:ascii="Garamond" w:hAnsi="Garamond"/>
          <w:color w:val="1155CC"/>
          <w:u w:val="single"/>
        </w:rPr>
        <w:t xml:space="preserve"> https://chile.embajada.gov.co/</w:t>
      </w:r>
    </w:p>
    <w:p w14:paraId="1456593A" w14:textId="77777777" w:rsidR="008309A1" w:rsidRPr="006E4775" w:rsidRDefault="008309A1" w:rsidP="008309A1">
      <w:pPr>
        <w:spacing w:line="276" w:lineRule="auto"/>
        <w:jc w:val="both"/>
        <w:rPr>
          <w:rFonts w:ascii="Garamond" w:hAnsi="Garamond"/>
          <w:b/>
          <w:bCs/>
        </w:rPr>
      </w:pPr>
      <w:r w:rsidRPr="006E4775">
        <w:rPr>
          <w:rFonts w:ascii="Garamond" w:hAnsi="Garamond"/>
          <w:b/>
          <w:bCs/>
        </w:rPr>
        <w:t xml:space="preserve">Región de Antofagasta: </w:t>
      </w:r>
    </w:p>
    <w:p w14:paraId="4FA9AFCE" w14:textId="77777777" w:rsidR="008309A1" w:rsidRPr="006E4775" w:rsidRDefault="008309A1" w:rsidP="008309A1">
      <w:pPr>
        <w:pStyle w:val="Prrafodelista"/>
        <w:numPr>
          <w:ilvl w:val="0"/>
          <w:numId w:val="9"/>
        </w:numPr>
        <w:spacing w:line="276" w:lineRule="auto"/>
        <w:jc w:val="both"/>
        <w:rPr>
          <w:rFonts w:ascii="Garamond" w:hAnsi="Garamond"/>
        </w:rPr>
      </w:pPr>
      <w:r w:rsidRPr="006E4775">
        <w:rPr>
          <w:rFonts w:ascii="Garamond" w:hAnsi="Garamond"/>
        </w:rPr>
        <w:t xml:space="preserve">Consulado: Av. Libertador Bernardo O'Higgins </w:t>
      </w:r>
      <w:proofErr w:type="spellStart"/>
      <w:r w:rsidRPr="006E4775">
        <w:rPr>
          <w:rFonts w:ascii="Garamond" w:hAnsi="Garamond"/>
        </w:rPr>
        <w:t>Nº</w:t>
      </w:r>
      <w:proofErr w:type="spellEnd"/>
      <w:r w:rsidRPr="006E4775">
        <w:rPr>
          <w:rFonts w:ascii="Garamond" w:hAnsi="Garamond"/>
        </w:rPr>
        <w:t xml:space="preserve"> 1291. Teléfonos: 56 55-2531330 / 56 55-2531331. Correo: </w:t>
      </w:r>
      <w:hyperlink r:id="rId18">
        <w:r w:rsidRPr="006E4775">
          <w:rPr>
            <w:rFonts w:ascii="Garamond" w:hAnsi="Garamond"/>
            <w:color w:val="1155CC"/>
            <w:u w:val="single"/>
          </w:rPr>
          <w:t>cantofagasta@cancilleria.gov.co</w:t>
        </w:r>
      </w:hyperlink>
      <w:r w:rsidRPr="006E4775">
        <w:rPr>
          <w:rFonts w:ascii="Garamond" w:hAnsi="Garamond"/>
        </w:rPr>
        <w:t xml:space="preserve"> </w:t>
      </w:r>
    </w:p>
    <w:p w14:paraId="3BCA5258" w14:textId="77777777" w:rsidR="008309A1" w:rsidRPr="006E4775" w:rsidRDefault="008309A1" w:rsidP="008309A1">
      <w:pPr>
        <w:spacing w:line="276" w:lineRule="auto"/>
        <w:jc w:val="both"/>
        <w:rPr>
          <w:rFonts w:ascii="Garamond" w:hAnsi="Garamond"/>
          <w:b/>
          <w:bCs/>
        </w:rPr>
      </w:pPr>
      <w:r w:rsidRPr="006E4775">
        <w:rPr>
          <w:rFonts w:ascii="Garamond" w:hAnsi="Garamond"/>
          <w:b/>
          <w:bCs/>
        </w:rPr>
        <w:t>Consulado móvil</w:t>
      </w:r>
    </w:p>
    <w:p w14:paraId="5BC5D202" w14:textId="77777777" w:rsidR="008309A1" w:rsidRPr="006E4775" w:rsidRDefault="008309A1" w:rsidP="008309A1">
      <w:pPr>
        <w:pStyle w:val="Prrafodelista"/>
        <w:numPr>
          <w:ilvl w:val="0"/>
          <w:numId w:val="9"/>
        </w:numPr>
        <w:spacing w:line="276" w:lineRule="auto"/>
        <w:jc w:val="both"/>
        <w:rPr>
          <w:rFonts w:ascii="Garamond" w:hAnsi="Garamond"/>
        </w:rPr>
      </w:pPr>
      <w:r w:rsidRPr="006E4775">
        <w:rPr>
          <w:rFonts w:ascii="Garamond" w:hAnsi="Garamond"/>
        </w:rPr>
        <w:t xml:space="preserve">Cabe señalar que el consulado de Colombia funciona como consulado móvil en algunas fechas, para movilizarse a ciertas zonas de la región de Antofagasta, así como a otras regiones del norte del país. </w:t>
      </w:r>
      <w:proofErr w:type="spellStart"/>
      <w:r w:rsidRPr="006E4775">
        <w:rPr>
          <w:rFonts w:ascii="Garamond" w:hAnsi="Garamond"/>
        </w:rPr>
        <w:t>Ej</w:t>
      </w:r>
      <w:proofErr w:type="spellEnd"/>
      <w:r w:rsidRPr="006E4775">
        <w:rPr>
          <w:rFonts w:ascii="Garamond" w:hAnsi="Garamond"/>
        </w:rPr>
        <w:t>: Consulado Móvil en Tocopilla.</w:t>
      </w:r>
    </w:p>
    <w:p w14:paraId="00000001" w14:textId="77777777" w:rsidR="009C50EA" w:rsidRPr="006E4775" w:rsidRDefault="00FC6E17" w:rsidP="00AA1CC6">
      <w:pPr>
        <w:pStyle w:val="Ttulo2"/>
      </w:pPr>
      <w:bookmarkStart w:id="10" w:name="_Toc108799421"/>
      <w:r w:rsidRPr="006E4775">
        <w:t xml:space="preserve">República de </w:t>
      </w:r>
      <w:r w:rsidR="00E652DE" w:rsidRPr="006E4775">
        <w:t>Perú</w:t>
      </w:r>
      <w:r w:rsidRPr="006E4775">
        <w:t xml:space="preserve"> (</w:t>
      </w:r>
      <w:proofErr w:type="spellStart"/>
      <w:r w:rsidRPr="006E4775">
        <w:t>Piruw</w:t>
      </w:r>
      <w:proofErr w:type="spellEnd"/>
      <w:r w:rsidR="00774DB4" w:rsidRPr="006E4775">
        <w:rPr>
          <w:rStyle w:val="Refdenotaalpie"/>
          <w:rFonts w:ascii="Garamond" w:hAnsi="Garamond"/>
          <w:sz w:val="22"/>
          <w:szCs w:val="22"/>
        </w:rPr>
        <w:footnoteReference w:id="7"/>
      </w:r>
      <w:r w:rsidRPr="006E4775">
        <w:t>)</w:t>
      </w:r>
      <w:bookmarkEnd w:id="10"/>
    </w:p>
    <w:p w14:paraId="00000002" w14:textId="1799ED7E" w:rsidR="009C50EA" w:rsidRPr="006E4775" w:rsidRDefault="00634B3D" w:rsidP="00AA1CC6">
      <w:pPr>
        <w:pStyle w:val="Ttulo3"/>
      </w:pPr>
      <w:bookmarkStart w:id="11" w:name="_Toc108799422"/>
      <w:r w:rsidRPr="006E4775">
        <w:t>Datos sociodemográficos</w:t>
      </w:r>
      <w:bookmarkEnd w:id="11"/>
    </w:p>
    <w:p w14:paraId="00000003" w14:textId="703FDA20" w:rsidR="009C50EA" w:rsidRPr="006E4775" w:rsidRDefault="00296630" w:rsidP="00293B47">
      <w:pPr>
        <w:pStyle w:val="Prrafodelista"/>
        <w:numPr>
          <w:ilvl w:val="0"/>
          <w:numId w:val="4"/>
        </w:numPr>
        <w:spacing w:line="276" w:lineRule="auto"/>
        <w:ind w:left="584" w:hanging="357"/>
        <w:jc w:val="both"/>
        <w:rPr>
          <w:rFonts w:ascii="Garamond" w:hAnsi="Garamond"/>
        </w:rPr>
      </w:pPr>
      <w:r w:rsidRPr="006E4775">
        <w:rPr>
          <w:rFonts w:ascii="Garamond" w:hAnsi="Garamond"/>
          <w:noProof/>
        </w:rPr>
        <w:drawing>
          <wp:anchor distT="114300" distB="114300" distL="114300" distR="114300" simplePos="0" relativeHeight="251676672" behindDoc="1" locked="0" layoutInCell="1" hidden="0" allowOverlap="1" wp14:anchorId="526CC803" wp14:editId="19FF4722">
            <wp:simplePos x="0" y="0"/>
            <wp:positionH relativeFrom="margin">
              <wp:align>right</wp:align>
            </wp:positionH>
            <wp:positionV relativeFrom="paragraph">
              <wp:posOffset>129540</wp:posOffset>
            </wp:positionV>
            <wp:extent cx="3429000" cy="3038475"/>
            <wp:effectExtent l="0" t="0" r="0" b="9525"/>
            <wp:wrapTight wrapText="bothSides">
              <wp:wrapPolygon edited="0">
                <wp:start x="0" y="0"/>
                <wp:lineTo x="0" y="21532"/>
                <wp:lineTo x="21480" y="21532"/>
                <wp:lineTo x="21480" y="0"/>
                <wp:lineTo x="0" y="0"/>
              </wp:wrapPolygon>
            </wp:wrapTight>
            <wp:docPr id="5" name="image1.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1.png" descr="Mapa&#10;&#10;Descripción generada automáticamente"/>
                    <pic:cNvPicPr preferRelativeResize="0"/>
                  </pic:nvPicPr>
                  <pic:blipFill>
                    <a:blip r:embed="rId19"/>
                    <a:srcRect/>
                    <a:stretch>
                      <a:fillRect/>
                    </a:stretch>
                  </pic:blipFill>
                  <pic:spPr>
                    <a:xfrm>
                      <a:off x="0" y="0"/>
                      <a:ext cx="3429000" cy="3038475"/>
                    </a:xfrm>
                    <a:prstGeom prst="rect">
                      <a:avLst/>
                    </a:prstGeom>
                    <a:ln/>
                  </pic:spPr>
                </pic:pic>
              </a:graphicData>
            </a:graphic>
            <wp14:sizeRelH relativeFrom="margin">
              <wp14:pctWidth>0</wp14:pctWidth>
            </wp14:sizeRelH>
            <wp14:sizeRelV relativeFrom="margin">
              <wp14:pctHeight>0</wp14:pctHeight>
            </wp14:sizeRelV>
          </wp:anchor>
        </w:drawing>
      </w:r>
      <w:r w:rsidR="00634B3D" w:rsidRPr="006E4775">
        <w:rPr>
          <w:rFonts w:ascii="Garamond" w:hAnsi="Garamond"/>
          <w:b/>
          <w:bCs/>
          <w:i/>
        </w:rPr>
        <w:t>Población</w:t>
      </w:r>
      <w:r w:rsidR="00634B3D" w:rsidRPr="006E4775">
        <w:rPr>
          <w:rFonts w:ascii="Garamond" w:hAnsi="Garamond"/>
          <w:i/>
        </w:rPr>
        <w:t>:</w:t>
      </w:r>
      <w:r w:rsidR="00634B3D" w:rsidRPr="006E4775">
        <w:rPr>
          <w:rFonts w:ascii="Garamond" w:hAnsi="Garamond"/>
        </w:rPr>
        <w:t xml:space="preserve"> 33.359.416 (Banco mundial, 2021)</w:t>
      </w:r>
    </w:p>
    <w:p w14:paraId="00000004" w14:textId="63A411A1" w:rsidR="009C50EA" w:rsidRPr="006E4775" w:rsidRDefault="00634B3D"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Porcentaje de NNAJ</w:t>
      </w:r>
      <w:r w:rsidRPr="006E4775">
        <w:rPr>
          <w:rFonts w:ascii="Garamond" w:hAnsi="Garamond"/>
          <w:i/>
        </w:rPr>
        <w:t xml:space="preserve">: </w:t>
      </w:r>
      <w:r w:rsidRPr="006E4775">
        <w:rPr>
          <w:rFonts w:ascii="Garamond" w:hAnsi="Garamond"/>
        </w:rPr>
        <w:t xml:space="preserve">29% </w:t>
      </w:r>
      <w:r w:rsidR="00774DB4" w:rsidRPr="006E4775">
        <w:rPr>
          <w:rFonts w:ascii="Garamond" w:hAnsi="Garamond"/>
        </w:rPr>
        <w:t>(</w:t>
      </w:r>
      <w:r w:rsidRPr="006E4775">
        <w:rPr>
          <w:rFonts w:ascii="Garamond" w:hAnsi="Garamond"/>
        </w:rPr>
        <w:t>CPI</w:t>
      </w:r>
      <w:r w:rsidR="00774DB4" w:rsidRPr="006E4775">
        <w:rPr>
          <w:rFonts w:ascii="Garamond" w:hAnsi="Garamond"/>
        </w:rPr>
        <w:t xml:space="preserve">, </w:t>
      </w:r>
      <w:r w:rsidRPr="006E4775">
        <w:rPr>
          <w:rFonts w:ascii="Garamond" w:hAnsi="Garamond"/>
        </w:rPr>
        <w:t>2022)</w:t>
      </w:r>
    </w:p>
    <w:p w14:paraId="00000005" w14:textId="5F76EBC5" w:rsidR="009C50EA" w:rsidRPr="006E4775" w:rsidRDefault="00634B3D"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Idioma</w:t>
      </w:r>
      <w:r w:rsidRPr="006E4775">
        <w:rPr>
          <w:rFonts w:ascii="Garamond" w:hAnsi="Garamond"/>
          <w:i/>
        </w:rPr>
        <w:t xml:space="preserve">: </w:t>
      </w:r>
      <w:r w:rsidRPr="006E4775">
        <w:rPr>
          <w:rFonts w:ascii="Garamond" w:hAnsi="Garamond"/>
        </w:rPr>
        <w:t>“[</w:t>
      </w:r>
      <w:r w:rsidR="00E039D8" w:rsidRPr="006E4775">
        <w:rPr>
          <w:rFonts w:ascii="Garamond" w:hAnsi="Garamond"/>
        </w:rPr>
        <w:t>S</w:t>
      </w:r>
      <w:r w:rsidRPr="006E4775">
        <w:rPr>
          <w:rFonts w:ascii="Garamond" w:hAnsi="Garamond"/>
        </w:rPr>
        <w:t xml:space="preserve">]on idiomas oficiales el castellano y, en las zonas donde predominen, también lo son el quechua, el aimara y las demás lenguas aborígenes, según la ley” (Constitución del Perú, 1993). Asimismo, se encuentran reconocidas como idiomas oficiales las lenguas andinas </w:t>
      </w:r>
      <w:proofErr w:type="spellStart"/>
      <w:r w:rsidRPr="006E4775">
        <w:rPr>
          <w:rFonts w:ascii="Garamond" w:hAnsi="Garamond"/>
        </w:rPr>
        <w:t>cuaqui</w:t>
      </w:r>
      <w:proofErr w:type="spellEnd"/>
      <w:r w:rsidRPr="006E4775">
        <w:rPr>
          <w:rFonts w:ascii="Garamond" w:hAnsi="Garamond"/>
        </w:rPr>
        <w:t>, así como 42 lenguas amazónica</w:t>
      </w:r>
      <w:sdt>
        <w:sdtPr>
          <w:rPr>
            <w:rFonts w:ascii="Garamond" w:hAnsi="Garamond"/>
          </w:rPr>
          <w:tag w:val="goog_rdk_0"/>
          <w:id w:val="1458605651"/>
        </w:sdtPr>
        <w:sdtContent/>
      </w:sdt>
      <w:r w:rsidRPr="006E4775">
        <w:rPr>
          <w:rFonts w:ascii="Garamond" w:hAnsi="Garamond"/>
        </w:rPr>
        <w:t>s</w:t>
      </w:r>
      <w:r w:rsidR="000A700C" w:rsidRPr="006E4775">
        <w:rPr>
          <w:rStyle w:val="Refdenotaalpie"/>
          <w:rFonts w:ascii="Garamond" w:hAnsi="Garamond"/>
        </w:rPr>
        <w:footnoteReference w:id="8"/>
      </w:r>
      <w:r w:rsidR="000A700C" w:rsidRPr="006E4775">
        <w:rPr>
          <w:rFonts w:ascii="Garamond" w:hAnsi="Garamond"/>
        </w:rPr>
        <w:t>.</w:t>
      </w:r>
      <w:r w:rsidRPr="006E4775">
        <w:rPr>
          <w:rFonts w:ascii="Garamond" w:hAnsi="Garamond"/>
        </w:rPr>
        <w:t xml:space="preserve"> </w:t>
      </w:r>
    </w:p>
    <w:p w14:paraId="00000006" w14:textId="05EBCCF8" w:rsidR="009C50EA" w:rsidRPr="006E4775" w:rsidRDefault="00634B3D"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lastRenderedPageBreak/>
        <w:t>PIB</w:t>
      </w:r>
      <w:r w:rsidRPr="006E4775">
        <w:rPr>
          <w:rFonts w:ascii="Garamond" w:hAnsi="Garamond"/>
          <w:i/>
        </w:rPr>
        <w:t>:</w:t>
      </w:r>
      <w:r w:rsidRPr="006E4775">
        <w:rPr>
          <w:rFonts w:ascii="Garamond" w:hAnsi="Garamond"/>
        </w:rPr>
        <w:t xml:space="preserve"> </w:t>
      </w:r>
      <w:r w:rsidR="00D85B60">
        <w:rPr>
          <w:rFonts w:ascii="Garamond" w:hAnsi="Garamond"/>
        </w:rPr>
        <w:t>US$2</w:t>
      </w:r>
      <w:r w:rsidR="00E039D8" w:rsidRPr="006E4775">
        <w:rPr>
          <w:rFonts w:ascii="Garamond" w:hAnsi="Garamond"/>
        </w:rPr>
        <w:t>23,25</w:t>
      </w:r>
      <w:r w:rsidRPr="006E4775">
        <w:rPr>
          <w:rFonts w:ascii="Garamond" w:hAnsi="Garamond"/>
        </w:rPr>
        <w:t xml:space="preserve"> </w:t>
      </w:r>
      <w:r w:rsidR="002060A3" w:rsidRPr="006E4775">
        <w:rPr>
          <w:rFonts w:ascii="Garamond" w:hAnsi="Garamond"/>
        </w:rPr>
        <w:t xml:space="preserve">miles de millones </w:t>
      </w:r>
      <w:r w:rsidRPr="006E4775">
        <w:rPr>
          <w:rFonts w:ascii="Garamond" w:hAnsi="Garamond"/>
        </w:rPr>
        <w:t>al 2021 (Banco Mundial, 2021)</w:t>
      </w:r>
    </w:p>
    <w:p w14:paraId="7240F76B" w14:textId="512C7274" w:rsidR="00E67F59" w:rsidRPr="006E4775" w:rsidRDefault="00E67F59" w:rsidP="00486B68">
      <w:pPr>
        <w:pStyle w:val="Prrafodelista"/>
        <w:numPr>
          <w:ilvl w:val="0"/>
          <w:numId w:val="4"/>
        </w:numPr>
        <w:spacing w:line="276" w:lineRule="auto"/>
        <w:ind w:hanging="493"/>
        <w:jc w:val="both"/>
        <w:rPr>
          <w:rFonts w:ascii="Garamond" w:hAnsi="Garamond"/>
        </w:rPr>
      </w:pPr>
      <w:r w:rsidRPr="006E4775">
        <w:rPr>
          <w:rFonts w:ascii="Garamond" w:hAnsi="Garamond"/>
          <w:b/>
          <w:bCs/>
          <w:i/>
        </w:rPr>
        <w:t>PIB per cápita</w:t>
      </w:r>
      <w:r w:rsidR="007F24B3">
        <w:rPr>
          <w:rFonts w:ascii="Garamond" w:hAnsi="Garamond"/>
          <w:b/>
          <w:bCs/>
          <w:i/>
        </w:rPr>
        <w:t xml:space="preserve">: </w:t>
      </w:r>
      <w:r w:rsidR="007F24B3" w:rsidRPr="007F24B3">
        <w:rPr>
          <w:rFonts w:ascii="Garamond" w:hAnsi="Garamond"/>
          <w:iCs/>
        </w:rPr>
        <w:t>US$ 6.692,2 (Banco Mundial, 2021)</w:t>
      </w:r>
    </w:p>
    <w:p w14:paraId="501E3D81" w14:textId="2595A3DF" w:rsidR="00E213C4" w:rsidRPr="006E4775" w:rsidRDefault="00E213C4"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Nivel de pobreza</w:t>
      </w:r>
      <w:r w:rsidRPr="006E4775">
        <w:rPr>
          <w:rFonts w:ascii="Garamond" w:hAnsi="Garamond"/>
          <w:i/>
        </w:rPr>
        <w:t xml:space="preserve">: </w:t>
      </w:r>
      <w:r w:rsidR="00DA1F54" w:rsidRPr="006E4775">
        <w:rPr>
          <w:rFonts w:ascii="Garamond" w:hAnsi="Garamond"/>
        </w:rPr>
        <w:t>4,4</w:t>
      </w:r>
      <w:r w:rsidRPr="006E4775">
        <w:rPr>
          <w:rFonts w:ascii="Garamond" w:hAnsi="Garamond"/>
        </w:rPr>
        <w:t xml:space="preserve"> % (Banco Mundial, 2020)</w:t>
      </w:r>
    </w:p>
    <w:p w14:paraId="00000008" w14:textId="1350B3F9" w:rsidR="009C50EA" w:rsidRPr="006E4775" w:rsidRDefault="00634B3D"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Índice de desarrollo humano</w:t>
      </w:r>
      <w:r w:rsidR="00BA4E24" w:rsidRPr="006E4775">
        <w:rPr>
          <w:rStyle w:val="Refdenotaalpie"/>
          <w:rFonts w:ascii="Garamond" w:hAnsi="Garamond"/>
          <w:b/>
          <w:bCs/>
          <w:i/>
        </w:rPr>
        <w:footnoteReference w:id="9"/>
      </w:r>
      <w:r w:rsidRPr="006E4775">
        <w:rPr>
          <w:rFonts w:ascii="Garamond" w:hAnsi="Garamond"/>
          <w:i/>
        </w:rPr>
        <w:t xml:space="preserve">: </w:t>
      </w:r>
      <w:r w:rsidR="00486B68">
        <w:rPr>
          <w:rFonts w:ascii="Garamond" w:hAnsi="Garamond"/>
          <w:iCs/>
        </w:rPr>
        <w:t>Al 2019, el índice subió a</w:t>
      </w:r>
      <w:r w:rsidRPr="006E4775">
        <w:rPr>
          <w:rFonts w:ascii="Garamond" w:hAnsi="Garamond"/>
        </w:rPr>
        <w:t xml:space="preserve"> 0,777</w:t>
      </w:r>
      <w:r w:rsidR="00486B68">
        <w:rPr>
          <w:rFonts w:ascii="Garamond" w:hAnsi="Garamond"/>
        </w:rPr>
        <w:t xml:space="preserve"> ubicando al país </w:t>
      </w:r>
      <w:r w:rsidR="00486B68" w:rsidRPr="00486B68">
        <w:rPr>
          <w:rFonts w:ascii="Garamond" w:hAnsi="Garamond"/>
        </w:rPr>
        <w:t>en el puesto 78 en el ranking a nivel mundial</w:t>
      </w:r>
      <w:r w:rsidR="00486B68">
        <w:rPr>
          <w:rFonts w:ascii="Garamond" w:hAnsi="Garamond"/>
        </w:rPr>
        <w:t xml:space="preserve"> (PNUD, 2019)</w:t>
      </w:r>
      <w:r w:rsidR="00486B68">
        <w:rPr>
          <w:rStyle w:val="Refdenotaalpie"/>
          <w:rFonts w:ascii="Garamond" w:hAnsi="Garamond"/>
        </w:rPr>
        <w:footnoteReference w:id="10"/>
      </w:r>
    </w:p>
    <w:p w14:paraId="0319D71F" w14:textId="36BE2195" w:rsidR="008977AC" w:rsidRPr="006E4775" w:rsidRDefault="008977AC" w:rsidP="00293B47">
      <w:pPr>
        <w:pStyle w:val="Prrafodelista"/>
        <w:numPr>
          <w:ilvl w:val="0"/>
          <w:numId w:val="4"/>
        </w:numPr>
        <w:spacing w:line="276" w:lineRule="auto"/>
        <w:ind w:left="584" w:hanging="357"/>
        <w:jc w:val="both"/>
        <w:rPr>
          <w:rFonts w:ascii="Garamond" w:hAnsi="Garamond"/>
          <w:iCs/>
        </w:rPr>
      </w:pPr>
      <w:r w:rsidRPr="006E4775">
        <w:rPr>
          <w:rFonts w:ascii="Garamond" w:hAnsi="Garamond"/>
          <w:b/>
          <w:bCs/>
          <w:i/>
        </w:rPr>
        <w:t xml:space="preserve">Desempleo (% de población activa total): </w:t>
      </w:r>
      <w:r w:rsidR="00E67F59" w:rsidRPr="006E4775">
        <w:rPr>
          <w:rFonts w:ascii="Garamond" w:hAnsi="Garamond"/>
          <w:b/>
          <w:bCs/>
          <w:i/>
        </w:rPr>
        <w:t xml:space="preserve">4,8% </w:t>
      </w:r>
      <w:r w:rsidRPr="006E4775">
        <w:rPr>
          <w:rFonts w:ascii="Garamond" w:hAnsi="Garamond"/>
          <w:iCs/>
        </w:rPr>
        <w:t>(Banco mundial, 2021)</w:t>
      </w:r>
    </w:p>
    <w:p w14:paraId="448A131B" w14:textId="4D199974" w:rsidR="00E213C4" w:rsidRPr="006E4775" w:rsidRDefault="00E213C4"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Esperanza de vida al nacer:</w:t>
      </w:r>
      <w:r w:rsidRPr="006E4775">
        <w:rPr>
          <w:rFonts w:ascii="Garamond" w:hAnsi="Garamond"/>
        </w:rPr>
        <w:t xml:space="preserve"> 77 años (Banco Mundial, 2020)</w:t>
      </w:r>
    </w:p>
    <w:p w14:paraId="1AC9AB52" w14:textId="2BA20CD2" w:rsidR="0007256D" w:rsidRPr="006E4775" w:rsidRDefault="0007256D"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Tasa de homicidios intencionales (por cada 100.000 habitantes)</w:t>
      </w:r>
      <w:r w:rsidR="00E039D8" w:rsidRPr="006E4775">
        <w:rPr>
          <w:rFonts w:ascii="Garamond" w:hAnsi="Garamond"/>
          <w:b/>
          <w:bCs/>
          <w:i/>
        </w:rPr>
        <w:t xml:space="preserve">: </w:t>
      </w:r>
      <w:r w:rsidR="00E039D8" w:rsidRPr="006E4775">
        <w:rPr>
          <w:rFonts w:ascii="Garamond" w:hAnsi="Garamond"/>
          <w:iCs/>
        </w:rPr>
        <w:t xml:space="preserve">8 </w:t>
      </w:r>
      <w:r w:rsidR="00E039D8" w:rsidRPr="006E4775">
        <w:rPr>
          <w:rFonts w:ascii="Garamond" w:hAnsi="Garamond"/>
        </w:rPr>
        <w:t>(Banco Mundial, 2020)</w:t>
      </w:r>
    </w:p>
    <w:p w14:paraId="30D3C3DC" w14:textId="78BC64D8" w:rsidR="00E213C4" w:rsidRPr="006E4775" w:rsidRDefault="00E213C4"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Migración</w:t>
      </w:r>
      <w:r w:rsidRPr="006E4775">
        <w:rPr>
          <w:rFonts w:ascii="Garamond" w:hAnsi="Garamond"/>
          <w:b/>
          <w:bCs/>
          <w:iCs/>
        </w:rPr>
        <w:t xml:space="preserve"> </w:t>
      </w:r>
      <w:r w:rsidRPr="006E4775">
        <w:rPr>
          <w:rFonts w:ascii="Garamond" w:hAnsi="Garamond"/>
          <w:b/>
          <w:bCs/>
          <w:i/>
          <w:iCs/>
        </w:rPr>
        <w:t>neta:</w:t>
      </w:r>
      <w:r w:rsidRPr="006E4775">
        <w:rPr>
          <w:rFonts w:ascii="Garamond" w:hAnsi="Garamond"/>
        </w:rPr>
        <w:t xml:space="preserve"> 495.345 (Banco Mundial, 2017). </w:t>
      </w:r>
    </w:p>
    <w:p w14:paraId="0000000A" w14:textId="692F4F7E" w:rsidR="009C50EA" w:rsidRPr="006E4775" w:rsidRDefault="00AC77EC" w:rsidP="004021E9">
      <w:pPr>
        <w:pStyle w:val="Ttulo3"/>
      </w:pPr>
      <w:bookmarkStart w:id="12" w:name="_Toc108799423"/>
      <w:r w:rsidRPr="006E4775">
        <w:t>Descripción fenómeno migratorio del país</w:t>
      </w:r>
      <w:bookmarkEnd w:id="12"/>
    </w:p>
    <w:p w14:paraId="14A1277A" w14:textId="1CCBDFE6" w:rsidR="00AC77EC" w:rsidRPr="006E4775" w:rsidRDefault="00AC77EC" w:rsidP="00293B47">
      <w:pPr>
        <w:spacing w:line="276" w:lineRule="auto"/>
        <w:jc w:val="both"/>
        <w:rPr>
          <w:rFonts w:ascii="Garamond" w:hAnsi="Garamond"/>
          <w:color w:val="000000"/>
        </w:rPr>
      </w:pPr>
      <w:r w:rsidRPr="006E4775">
        <w:rPr>
          <w:rFonts w:ascii="Garamond" w:hAnsi="Garamond"/>
          <w:color w:val="000000"/>
        </w:rPr>
        <w:t xml:space="preserve">Entre la década de los 90 y el 2018, se estima que el 10% de la población peruana han registrado su salida del país y no ha vuelto (INEI, 2020). Si se considera la cifra poblacional del último censo, ocurrido el año 2017, el porcentaje de emigrantes es del 4.1% (INEI, 2020). Con respecto a la </w:t>
      </w:r>
      <w:r w:rsidR="00EA4860" w:rsidRPr="006E4775">
        <w:rPr>
          <w:rFonts w:ascii="Garamond" w:hAnsi="Garamond"/>
          <w:color w:val="000000"/>
        </w:rPr>
        <w:t>inmigración</w:t>
      </w:r>
      <w:r w:rsidRPr="006E4775">
        <w:rPr>
          <w:rFonts w:ascii="Garamond" w:hAnsi="Garamond"/>
          <w:color w:val="000000"/>
        </w:rPr>
        <w:t>, se constata al 2019 la presencia de 963.528 migrantes. De éstos, 92,9% son personas de la misma región latinoamericana y, de este grupo, un 84.4% son personas venezolanas (INEI, 2020).</w:t>
      </w:r>
    </w:p>
    <w:p w14:paraId="0000000B" w14:textId="05742E38" w:rsidR="009C50EA" w:rsidRPr="006E4775" w:rsidRDefault="00AC77EC" w:rsidP="00293B47">
      <w:pPr>
        <w:spacing w:line="276" w:lineRule="auto"/>
        <w:jc w:val="both"/>
        <w:rPr>
          <w:rFonts w:ascii="Garamond" w:hAnsi="Garamond"/>
        </w:rPr>
      </w:pPr>
      <w:r w:rsidRPr="006E4775">
        <w:rPr>
          <w:rFonts w:ascii="Garamond" w:hAnsi="Garamond"/>
          <w:color w:val="000000"/>
        </w:rPr>
        <w:t>A</w:t>
      </w:r>
      <w:r w:rsidR="00634B3D" w:rsidRPr="006E4775">
        <w:rPr>
          <w:rFonts w:ascii="Garamond" w:hAnsi="Garamond"/>
        </w:rPr>
        <w:t xml:space="preserve"> partir de lo expuesto por el INEI (2016), los motivos laborales representan el 68% de los motivos de emigración. Así, casi un 40% migran para acceder a mejores oportunidades económicas, 19% por motivos familiares, casi un 17% debido a contratos de trabajo, y 11,7% por desempleo. Cabe mencionar que una característica de esta migración por motivos laborales es la mantención de vínculos con la familia que permanece en el país. Esto se observa por el flujo de remesas del exterior hacia el Perú, el cual representó 1.4% del PIB del país el 2019 (INEI, 2020).</w:t>
      </w:r>
    </w:p>
    <w:p w14:paraId="0000000C" w14:textId="327D76F2" w:rsidR="009C50EA" w:rsidRPr="006E4775" w:rsidRDefault="00634B3D" w:rsidP="00293B47">
      <w:pPr>
        <w:spacing w:line="276" w:lineRule="auto"/>
        <w:jc w:val="both"/>
        <w:rPr>
          <w:rFonts w:ascii="Garamond" w:hAnsi="Garamond"/>
        </w:rPr>
      </w:pPr>
      <w:r w:rsidRPr="006E4775">
        <w:rPr>
          <w:rFonts w:ascii="Garamond" w:hAnsi="Garamond"/>
        </w:rPr>
        <w:t xml:space="preserve">En resumidas cuentas, a partir del siglo XX, Perú pasó de ser un país primeramente receptor de migración europea a un país emisor de migrantes finalizando la década del 2010 (Abusada y Pastor, 2008). Cuestiones tales como el cambio sociodemográfico, la migración campo-ciudad, la </w:t>
      </w:r>
      <w:sdt>
        <w:sdtPr>
          <w:rPr>
            <w:rFonts w:ascii="Garamond" w:hAnsi="Garamond"/>
          </w:rPr>
          <w:tag w:val="goog_rdk_1"/>
          <w:id w:val="-1236933080"/>
        </w:sdtPr>
        <w:sdtContent/>
      </w:sdt>
      <w:r w:rsidRPr="006E4775">
        <w:rPr>
          <w:rFonts w:ascii="Garamond" w:hAnsi="Garamond"/>
        </w:rPr>
        <w:t>inestabilidad sociopolítica</w:t>
      </w:r>
      <w:r w:rsidR="00486B68">
        <w:rPr>
          <w:rStyle w:val="Refdenotaalpie"/>
          <w:rFonts w:ascii="Garamond" w:hAnsi="Garamond"/>
        </w:rPr>
        <w:footnoteReference w:id="11"/>
      </w:r>
      <w:r w:rsidRPr="006E4775">
        <w:rPr>
          <w:rFonts w:ascii="Garamond" w:hAnsi="Garamond"/>
        </w:rPr>
        <w:t xml:space="preserve"> son factores que configuraron esta tendencia migratoria (Abusada y Pastor, 2008; OIM, 2012a). </w:t>
      </w:r>
    </w:p>
    <w:p w14:paraId="0000000D" w14:textId="05364A65" w:rsidR="009C50EA" w:rsidRPr="006E4775" w:rsidRDefault="00634B3D" w:rsidP="00293B47">
      <w:pPr>
        <w:spacing w:line="276" w:lineRule="auto"/>
        <w:jc w:val="both"/>
        <w:rPr>
          <w:rFonts w:ascii="Garamond" w:hAnsi="Garamond"/>
        </w:rPr>
      </w:pPr>
      <w:r w:rsidRPr="006E4775">
        <w:rPr>
          <w:rFonts w:ascii="Garamond" w:hAnsi="Garamond"/>
        </w:rPr>
        <w:t xml:space="preserve">Dicho eso, a partir de la década de los 90 en adelante a Perú le acompaña un crecimiento sostenido de estabilidad </w:t>
      </w:r>
      <w:r w:rsidR="00F139D8" w:rsidRPr="006E4775">
        <w:rPr>
          <w:rFonts w:ascii="Garamond" w:hAnsi="Garamond"/>
        </w:rPr>
        <w:t xml:space="preserve">y mejora de condiciones </w:t>
      </w:r>
      <w:r w:rsidRPr="006E4775">
        <w:rPr>
          <w:rFonts w:ascii="Garamond" w:hAnsi="Garamond"/>
        </w:rPr>
        <w:t>socioeconómica</w:t>
      </w:r>
      <w:r w:rsidR="00F139D8" w:rsidRPr="006E4775">
        <w:rPr>
          <w:rFonts w:ascii="Garamond" w:hAnsi="Garamond"/>
        </w:rPr>
        <w:t>s</w:t>
      </w:r>
      <w:r w:rsidRPr="006E4775">
        <w:rPr>
          <w:rFonts w:ascii="Garamond" w:hAnsi="Garamond"/>
        </w:rPr>
        <w:t xml:space="preserve"> de la población (OIM, 2012a). No obstante, en el mismo periodo se consigna la mayor alza de emigración, especialmente en el periodo entre 2006 y 2012 (OIM, 2012b). Esta aparente contradicción que intensifica la emigración ocurriría debido al “arrastre de la unificación familiar y cadenas familiares dinámicas (...) [las cuales] han generado un proceso intenso y acumulativo de la salida de peruanos al exterior, (...) [sumado a los] aún persistentes problemas </w:t>
      </w:r>
      <w:r w:rsidRPr="006E4775">
        <w:rPr>
          <w:rFonts w:ascii="Garamond" w:hAnsi="Garamond"/>
        </w:rPr>
        <w:lastRenderedPageBreak/>
        <w:t xml:space="preserve">estructurales del país abonan esta corriente </w:t>
      </w:r>
      <w:r w:rsidR="00F139D8" w:rsidRPr="006E4775">
        <w:rPr>
          <w:rFonts w:ascii="Garamond" w:hAnsi="Garamond"/>
        </w:rPr>
        <w:t>emigratoria” (</w:t>
      </w:r>
      <w:r w:rsidRPr="006E4775">
        <w:rPr>
          <w:rFonts w:ascii="Garamond" w:hAnsi="Garamond"/>
        </w:rPr>
        <w:t xml:space="preserve">OIM, 2012a, p. 48). Así, detrás de la actual migración por motivos laborales y mejores oportunidades, subyacen factores como las dinámicas de migración previas al inicio del siglo XXI (Abusada y Pastor, 2008), las prevalecientes expectativas de la población de salir del país (OIM, 2012a) como por las dinámicas familiares transnacionales </w:t>
      </w:r>
      <w:r w:rsidR="00CA6796" w:rsidRPr="006E4775">
        <w:rPr>
          <w:rFonts w:ascii="Garamond" w:hAnsi="Garamond"/>
        </w:rPr>
        <w:t>constituidas</w:t>
      </w:r>
      <w:r w:rsidRPr="006E4775">
        <w:rPr>
          <w:rFonts w:ascii="Garamond" w:hAnsi="Garamond"/>
        </w:rPr>
        <w:t xml:space="preserve"> a partir de lo recién mencionado OIM, 2012a).</w:t>
      </w:r>
    </w:p>
    <w:p w14:paraId="0000000E" w14:textId="77777777" w:rsidR="009C50EA" w:rsidRPr="006E4775" w:rsidRDefault="00634B3D" w:rsidP="004021E9">
      <w:pPr>
        <w:pStyle w:val="Ttulo3"/>
      </w:pPr>
      <w:bookmarkStart w:id="13" w:name="_Toc108799424"/>
      <w:r w:rsidRPr="006E4775">
        <w:t>Descripción sobre instituciones importantes</w:t>
      </w:r>
      <w:bookmarkEnd w:id="13"/>
    </w:p>
    <w:p w14:paraId="0000000F" w14:textId="52DB0C38" w:rsidR="009C50EA" w:rsidRPr="006E4775" w:rsidRDefault="00634B3D" w:rsidP="004021E9">
      <w:pPr>
        <w:pStyle w:val="Ttulo4"/>
      </w:pPr>
      <w:r w:rsidRPr="006E4775">
        <w:t>Unidades administrativas</w:t>
      </w:r>
    </w:p>
    <w:p w14:paraId="00000010" w14:textId="77777777" w:rsidR="009C50EA" w:rsidRPr="006E4775" w:rsidRDefault="00634B3D" w:rsidP="00293B47">
      <w:pPr>
        <w:spacing w:line="276" w:lineRule="auto"/>
        <w:jc w:val="both"/>
        <w:rPr>
          <w:rFonts w:ascii="Garamond" w:hAnsi="Garamond"/>
        </w:rPr>
      </w:pPr>
      <w:r w:rsidRPr="006E4775">
        <w:rPr>
          <w:rFonts w:ascii="Garamond" w:hAnsi="Garamond"/>
        </w:rPr>
        <w:t>Según la Constitución del Perú (1993), el territorio nacional está “integrado por regiones, departamentos, provincias y distritos, en cuyas circunscripciones se constituye y organiza el gobierno a nivel nacional, regional y local” (Constitución Política del Perú, 1993). Así, actualmente existen 8 regiones, 24 departamentos, 196 provincias y 1874 distritos (INEI, 2019).</w:t>
      </w:r>
    </w:p>
    <w:p w14:paraId="00000011" w14:textId="370CF47B" w:rsidR="009C50EA" w:rsidRPr="006E4775" w:rsidRDefault="00CA6796" w:rsidP="004021E9">
      <w:pPr>
        <w:pStyle w:val="Ttulo4"/>
      </w:pPr>
      <w:r w:rsidRPr="006E4775">
        <w:t>S</w:t>
      </w:r>
      <w:r w:rsidR="00634B3D" w:rsidRPr="006E4775">
        <w:t>istema de justicia juvenil</w:t>
      </w:r>
    </w:p>
    <w:p w14:paraId="00000012" w14:textId="77777777" w:rsidR="009C50EA" w:rsidRPr="006E4775" w:rsidRDefault="00634B3D" w:rsidP="00293B47">
      <w:pPr>
        <w:spacing w:line="276" w:lineRule="auto"/>
        <w:jc w:val="both"/>
        <w:rPr>
          <w:rFonts w:ascii="Garamond" w:hAnsi="Garamond"/>
        </w:rPr>
      </w:pPr>
      <w:r w:rsidRPr="006E4775">
        <w:rPr>
          <w:rFonts w:ascii="Garamond" w:hAnsi="Garamond"/>
        </w:rPr>
        <w:t>En la actualidad, esta justicia diferenciada se rige a partir del Plan Nacional de Acción por la Infancia y la Adolescencia 2012-2021 (PNAIA, 2021 citado en Observatorio Nacional de Política Criminal, 2017). Asimismo, durante el 2021 se aprobó la Política Nacional del Adolescente en Riesgo y en Conflicto con la Ley Penal, la cual establece un trabajo multisectorial para el abordaje de este grupo social en específico (Estado Peruano, 4 de mayo del 2021).</w:t>
      </w:r>
    </w:p>
    <w:p w14:paraId="2E9A642F" w14:textId="77777777" w:rsidR="008309A1" w:rsidRPr="006E4775" w:rsidRDefault="00634B3D" w:rsidP="00293B47">
      <w:pPr>
        <w:spacing w:line="276" w:lineRule="auto"/>
        <w:jc w:val="both"/>
        <w:rPr>
          <w:rFonts w:ascii="Garamond" w:hAnsi="Garamond"/>
        </w:rPr>
      </w:pPr>
      <w:r w:rsidRPr="006E4775">
        <w:rPr>
          <w:rFonts w:ascii="Garamond" w:hAnsi="Garamond"/>
        </w:rPr>
        <w:t xml:space="preserve">En el IV del Título Preliminar del Código de los Niños y </w:t>
      </w:r>
      <w:r w:rsidR="00E202AD" w:rsidRPr="006E4775">
        <w:rPr>
          <w:rFonts w:ascii="Garamond" w:hAnsi="Garamond"/>
        </w:rPr>
        <w:t>Adolescentes, (</w:t>
      </w:r>
      <w:r w:rsidRPr="006E4775">
        <w:rPr>
          <w:rFonts w:ascii="Garamond" w:hAnsi="Garamond"/>
        </w:rPr>
        <w:t>L</w:t>
      </w:r>
      <w:r w:rsidR="00E202AD" w:rsidRPr="006E4775">
        <w:rPr>
          <w:rFonts w:ascii="Garamond" w:hAnsi="Garamond"/>
        </w:rPr>
        <w:t>ey</w:t>
      </w:r>
      <w:r w:rsidRPr="006E4775">
        <w:rPr>
          <w:rFonts w:ascii="Garamond" w:hAnsi="Garamond"/>
        </w:rPr>
        <w:t xml:space="preserve"> </w:t>
      </w:r>
      <w:proofErr w:type="spellStart"/>
      <w:r w:rsidRPr="006E4775">
        <w:rPr>
          <w:rFonts w:ascii="Garamond" w:hAnsi="Garamond"/>
        </w:rPr>
        <w:t>Nº</w:t>
      </w:r>
      <w:proofErr w:type="spellEnd"/>
      <w:r w:rsidRPr="006E4775">
        <w:rPr>
          <w:rFonts w:ascii="Garamond" w:hAnsi="Garamond"/>
        </w:rPr>
        <w:t xml:space="preserve"> 27337), se establece </w:t>
      </w:r>
      <w:r w:rsidR="00E202AD" w:rsidRPr="006E4775">
        <w:rPr>
          <w:rFonts w:ascii="Garamond" w:hAnsi="Garamond"/>
        </w:rPr>
        <w:t>que,</w:t>
      </w:r>
      <w:r w:rsidRPr="006E4775">
        <w:rPr>
          <w:rFonts w:ascii="Garamond" w:hAnsi="Garamond"/>
        </w:rPr>
        <w:t xml:space="preserve"> ante el suceso de infracción de ley, la edad de imputabilidad penal es de 14 </w:t>
      </w:r>
      <w:r w:rsidR="00E202AD" w:rsidRPr="006E4775">
        <w:rPr>
          <w:rFonts w:ascii="Garamond" w:hAnsi="Garamond"/>
        </w:rPr>
        <w:t>años</w:t>
      </w:r>
      <w:r w:rsidRPr="006E4775">
        <w:rPr>
          <w:rFonts w:ascii="Garamond" w:hAnsi="Garamond"/>
        </w:rPr>
        <w:t xml:space="preserve"> hasta los 18 años cumplidos (Código de los Niño y Adolescentes, 2000). </w:t>
      </w:r>
    </w:p>
    <w:p w14:paraId="00000014" w14:textId="2AC04EC3" w:rsidR="009C50EA" w:rsidRPr="006E4775" w:rsidRDefault="00634B3D" w:rsidP="00293B47">
      <w:pPr>
        <w:spacing w:line="276" w:lineRule="auto"/>
        <w:jc w:val="both"/>
        <w:rPr>
          <w:rFonts w:ascii="Garamond" w:hAnsi="Garamond"/>
        </w:rPr>
      </w:pPr>
      <w:r w:rsidRPr="006E4775">
        <w:rPr>
          <w:rFonts w:ascii="Garamond" w:hAnsi="Garamond"/>
        </w:rPr>
        <w:t xml:space="preserve">En el caso peruano, el organismo encargado de cumplir la función rehabilitadora y de reinserción social de los jóvenes en conflicto con la ley es la Gerencia de Centros Juveniles, a través del Sistema de Reinserción Social del Adolescente en Conflicto con la Ley Penal (SRSALP) (Observatorio Nacional de Política Criminal, 2017). El SRSALP cuenta con dos modalidades: medio abierto, regido por </w:t>
      </w:r>
      <w:r w:rsidR="00E202AD" w:rsidRPr="006E4775">
        <w:rPr>
          <w:rFonts w:ascii="Garamond" w:hAnsi="Garamond"/>
        </w:rPr>
        <w:t>el Servicio</w:t>
      </w:r>
      <w:r w:rsidRPr="006E4775">
        <w:rPr>
          <w:rFonts w:ascii="Garamond" w:hAnsi="Garamond"/>
        </w:rPr>
        <w:t xml:space="preserve"> de Orientación al Adolescente </w:t>
      </w:r>
      <w:r w:rsidR="00E202AD" w:rsidRPr="006E4775">
        <w:rPr>
          <w:rFonts w:ascii="Garamond" w:hAnsi="Garamond"/>
        </w:rPr>
        <w:t>(</w:t>
      </w:r>
      <w:r w:rsidRPr="006E4775">
        <w:rPr>
          <w:rFonts w:ascii="Garamond" w:hAnsi="Garamond"/>
        </w:rPr>
        <w:t xml:space="preserve">SOA) y medio cerrado, dirigido por el Centro Juvenil de Diagnóstico y Rehabilitación </w:t>
      </w:r>
      <w:r w:rsidR="00E202AD" w:rsidRPr="006E4775">
        <w:rPr>
          <w:rFonts w:ascii="Garamond" w:hAnsi="Garamond"/>
        </w:rPr>
        <w:t>(</w:t>
      </w:r>
      <w:r w:rsidRPr="006E4775">
        <w:rPr>
          <w:rFonts w:ascii="Garamond" w:hAnsi="Garamond"/>
        </w:rPr>
        <w:t>CJDR</w:t>
      </w:r>
      <w:r w:rsidR="00E202AD" w:rsidRPr="006E4775">
        <w:rPr>
          <w:rFonts w:ascii="Garamond" w:hAnsi="Garamond"/>
        </w:rPr>
        <w:t>)</w:t>
      </w:r>
      <w:r w:rsidRPr="006E4775">
        <w:rPr>
          <w:rFonts w:ascii="Garamond" w:hAnsi="Garamond"/>
        </w:rPr>
        <w:t>. (Observatorio Nacional de Política Criminal, 2017)</w:t>
      </w:r>
      <w:r w:rsidR="00E202AD" w:rsidRPr="006E4775">
        <w:rPr>
          <w:rFonts w:ascii="Garamond" w:hAnsi="Garamond"/>
        </w:rPr>
        <w:t>.</w:t>
      </w:r>
    </w:p>
    <w:p w14:paraId="00000015" w14:textId="659394AC" w:rsidR="009C50EA" w:rsidRPr="006E4775" w:rsidRDefault="00634B3D" w:rsidP="004021E9">
      <w:pPr>
        <w:pStyle w:val="Ttulo3"/>
      </w:pPr>
      <w:bookmarkStart w:id="14" w:name="_Toc108799425"/>
      <w:r w:rsidRPr="006E4775">
        <w:t>Embajada y Consulados en Chile</w:t>
      </w:r>
      <w:bookmarkEnd w:id="14"/>
    </w:p>
    <w:p w14:paraId="1718C922" w14:textId="7ACC415C" w:rsidR="008A25E6" w:rsidRPr="006E4775" w:rsidRDefault="008A25E6" w:rsidP="00293B47">
      <w:pPr>
        <w:spacing w:line="276" w:lineRule="auto"/>
        <w:jc w:val="both"/>
        <w:rPr>
          <w:rFonts w:ascii="Garamond" w:hAnsi="Garamond"/>
        </w:rPr>
      </w:pPr>
      <w:r w:rsidRPr="006E4775">
        <w:rPr>
          <w:rFonts w:ascii="Garamond" w:hAnsi="Garamond"/>
        </w:rPr>
        <w:t>A la fecha</w:t>
      </w:r>
      <w:r w:rsidR="00C87E33" w:rsidRPr="006E4775">
        <w:rPr>
          <w:rFonts w:ascii="Garamond" w:hAnsi="Garamond"/>
        </w:rPr>
        <w:t xml:space="preserve"> (2022)</w:t>
      </w:r>
      <w:r w:rsidRPr="006E4775">
        <w:rPr>
          <w:rFonts w:ascii="Garamond" w:hAnsi="Garamond"/>
        </w:rPr>
        <w:t xml:space="preserve">, existe una embajada en la Región Metropolitana, y cuatro consulados en distintas regiones del país: </w:t>
      </w:r>
    </w:p>
    <w:p w14:paraId="08F44DFA" w14:textId="7CD053E5" w:rsidR="002A1547" w:rsidRPr="006E4775" w:rsidRDefault="002A1547" w:rsidP="00293B47">
      <w:pPr>
        <w:spacing w:line="276" w:lineRule="auto"/>
        <w:jc w:val="both"/>
        <w:rPr>
          <w:rFonts w:ascii="Garamond" w:hAnsi="Garamond"/>
          <w:b/>
          <w:bCs/>
        </w:rPr>
      </w:pPr>
      <w:r w:rsidRPr="006E4775">
        <w:rPr>
          <w:rFonts w:ascii="Garamond" w:hAnsi="Garamond"/>
          <w:b/>
          <w:bCs/>
        </w:rPr>
        <w:t>Región Metropolitana:</w:t>
      </w:r>
    </w:p>
    <w:p w14:paraId="00000016" w14:textId="2F6CB779" w:rsidR="009C50EA" w:rsidRPr="006E4775" w:rsidRDefault="00634B3D" w:rsidP="00293B47">
      <w:pPr>
        <w:pStyle w:val="Prrafodelista"/>
        <w:numPr>
          <w:ilvl w:val="0"/>
          <w:numId w:val="3"/>
        </w:numPr>
        <w:spacing w:line="276" w:lineRule="auto"/>
        <w:jc w:val="both"/>
        <w:rPr>
          <w:rFonts w:ascii="Garamond" w:hAnsi="Garamond"/>
          <w:iCs/>
        </w:rPr>
      </w:pPr>
      <w:r w:rsidRPr="006E4775">
        <w:rPr>
          <w:rFonts w:ascii="Garamond" w:hAnsi="Garamond"/>
          <w:iCs/>
        </w:rPr>
        <w:t>Embajada</w:t>
      </w:r>
      <w:r w:rsidR="002A1547" w:rsidRPr="006E4775">
        <w:rPr>
          <w:rFonts w:ascii="Garamond" w:hAnsi="Garamond"/>
          <w:iCs/>
        </w:rPr>
        <w:t xml:space="preserve">: </w:t>
      </w:r>
      <w:r w:rsidRPr="006E4775">
        <w:rPr>
          <w:rFonts w:ascii="Garamond" w:hAnsi="Garamond"/>
          <w:iCs/>
        </w:rPr>
        <w:t xml:space="preserve">Av. Andrés Bello 1751, Providencia. </w:t>
      </w:r>
      <w:r w:rsidR="002A1547" w:rsidRPr="006E4775">
        <w:rPr>
          <w:rFonts w:ascii="Garamond" w:hAnsi="Garamond"/>
          <w:iCs/>
        </w:rPr>
        <w:t>Teléfono:</w:t>
      </w:r>
      <w:r w:rsidRPr="006E4775">
        <w:rPr>
          <w:rFonts w:ascii="Garamond" w:hAnsi="Garamond"/>
          <w:iCs/>
        </w:rPr>
        <w:t xml:space="preserve"> (+56) 2 23392600</w:t>
      </w:r>
      <w:r w:rsidR="002A1547" w:rsidRPr="006E4775">
        <w:rPr>
          <w:rFonts w:ascii="Garamond" w:hAnsi="Garamond"/>
          <w:iCs/>
        </w:rPr>
        <w:t>. Correo:</w:t>
      </w:r>
      <w:r w:rsidRPr="006E4775">
        <w:rPr>
          <w:rFonts w:ascii="Garamond" w:hAnsi="Garamond"/>
          <w:iCs/>
        </w:rPr>
        <w:t xml:space="preserve"> </w:t>
      </w:r>
      <w:hyperlink r:id="rId20">
        <w:r w:rsidRPr="006E4775">
          <w:rPr>
            <w:rFonts w:ascii="Garamond" w:hAnsi="Garamond"/>
            <w:iCs/>
            <w:u w:val="single"/>
          </w:rPr>
          <w:t>embajada@embajadadelperu.cl</w:t>
        </w:r>
      </w:hyperlink>
      <w:r w:rsidRPr="006E4775">
        <w:rPr>
          <w:rFonts w:ascii="Garamond" w:hAnsi="Garamond"/>
          <w:iCs/>
        </w:rPr>
        <w:t xml:space="preserve"> </w:t>
      </w:r>
    </w:p>
    <w:p w14:paraId="4960A9E8" w14:textId="4F8CB3A8" w:rsidR="00E202AD" w:rsidRPr="006E4775" w:rsidRDefault="00E202AD" w:rsidP="00293B47">
      <w:pPr>
        <w:pStyle w:val="Prrafodelista"/>
        <w:numPr>
          <w:ilvl w:val="0"/>
          <w:numId w:val="3"/>
        </w:numPr>
        <w:spacing w:line="276" w:lineRule="auto"/>
        <w:jc w:val="both"/>
        <w:rPr>
          <w:rFonts w:ascii="Garamond" w:hAnsi="Garamond"/>
        </w:rPr>
      </w:pPr>
      <w:r w:rsidRPr="006E4775">
        <w:rPr>
          <w:rFonts w:ascii="Garamond" w:hAnsi="Garamond"/>
          <w:iCs/>
        </w:rPr>
        <w:t>Consulado</w:t>
      </w:r>
      <w:r w:rsidRPr="006E4775">
        <w:rPr>
          <w:rFonts w:ascii="Garamond" w:hAnsi="Garamond"/>
          <w:i/>
        </w:rPr>
        <w:t>:</w:t>
      </w:r>
      <w:r w:rsidRPr="006E4775">
        <w:rPr>
          <w:rFonts w:ascii="Garamond" w:hAnsi="Garamond"/>
        </w:rPr>
        <w:t xml:space="preserve"> Calle Antonio </w:t>
      </w:r>
      <w:proofErr w:type="spellStart"/>
      <w:r w:rsidRPr="006E4775">
        <w:rPr>
          <w:rFonts w:ascii="Garamond" w:hAnsi="Garamond"/>
        </w:rPr>
        <w:t>Bellet</w:t>
      </w:r>
      <w:proofErr w:type="spellEnd"/>
      <w:r w:rsidRPr="006E4775">
        <w:rPr>
          <w:rFonts w:ascii="Garamond" w:hAnsi="Garamond"/>
        </w:rPr>
        <w:t xml:space="preserve"> 444, oficina 104, Providencia (Esquina de Antonio </w:t>
      </w:r>
      <w:proofErr w:type="spellStart"/>
      <w:r w:rsidRPr="006E4775">
        <w:rPr>
          <w:rFonts w:ascii="Garamond" w:hAnsi="Garamond"/>
        </w:rPr>
        <w:t>Bellet</w:t>
      </w:r>
      <w:proofErr w:type="spellEnd"/>
      <w:r w:rsidRPr="006E4775">
        <w:rPr>
          <w:rFonts w:ascii="Garamond" w:hAnsi="Garamond"/>
        </w:rPr>
        <w:t xml:space="preserve"> con Pérez Valenzuela), Santiago. </w:t>
      </w:r>
      <w:r w:rsidR="002A1547" w:rsidRPr="006E4775">
        <w:rPr>
          <w:rFonts w:ascii="Garamond" w:hAnsi="Garamond"/>
        </w:rPr>
        <w:t xml:space="preserve">Teléfono: </w:t>
      </w:r>
      <w:r w:rsidRPr="006E4775">
        <w:rPr>
          <w:rFonts w:ascii="Garamond" w:hAnsi="Garamond"/>
        </w:rPr>
        <w:t>(56-2)  2940-2900 o (56-2) 2940-2917</w:t>
      </w:r>
      <w:r w:rsidR="002A1547" w:rsidRPr="006E4775">
        <w:rPr>
          <w:rFonts w:ascii="Garamond" w:hAnsi="Garamond"/>
        </w:rPr>
        <w:t xml:space="preserve">. Correo: </w:t>
      </w:r>
      <w:hyperlink r:id="rId21">
        <w:r w:rsidRPr="006E4775">
          <w:rPr>
            <w:rFonts w:ascii="Garamond" w:hAnsi="Garamond"/>
            <w:u w:val="single"/>
          </w:rPr>
          <w:t>ebertarelli@conpersantiago.cl</w:t>
        </w:r>
      </w:hyperlink>
      <w:r w:rsidRPr="006E4775">
        <w:rPr>
          <w:rFonts w:ascii="Garamond" w:hAnsi="Garamond"/>
        </w:rPr>
        <w:t xml:space="preserve"> </w:t>
      </w:r>
    </w:p>
    <w:p w14:paraId="3D2475AD" w14:textId="511FBC2B" w:rsidR="002A1547" w:rsidRPr="006E4775" w:rsidRDefault="002A1547" w:rsidP="002A1547">
      <w:pPr>
        <w:spacing w:line="276" w:lineRule="auto"/>
        <w:jc w:val="both"/>
        <w:rPr>
          <w:rFonts w:ascii="Garamond" w:hAnsi="Garamond"/>
          <w:b/>
          <w:bCs/>
        </w:rPr>
      </w:pPr>
      <w:r w:rsidRPr="006E4775">
        <w:rPr>
          <w:rFonts w:ascii="Garamond" w:hAnsi="Garamond"/>
          <w:b/>
          <w:bCs/>
        </w:rPr>
        <w:t>Región Arica y Parinacota:</w:t>
      </w:r>
    </w:p>
    <w:p w14:paraId="00000017" w14:textId="00816C5A" w:rsidR="009C50EA" w:rsidRPr="006E4775" w:rsidRDefault="00634B3D" w:rsidP="00293B47">
      <w:pPr>
        <w:pStyle w:val="Prrafodelista"/>
        <w:numPr>
          <w:ilvl w:val="0"/>
          <w:numId w:val="3"/>
        </w:numPr>
        <w:spacing w:line="276" w:lineRule="auto"/>
        <w:jc w:val="both"/>
        <w:rPr>
          <w:rFonts w:ascii="Garamond" w:hAnsi="Garamond"/>
        </w:rPr>
      </w:pPr>
      <w:r w:rsidRPr="006E4775">
        <w:rPr>
          <w:rFonts w:ascii="Garamond" w:hAnsi="Garamond"/>
          <w:iCs/>
        </w:rPr>
        <w:lastRenderedPageBreak/>
        <w:t>Consulado</w:t>
      </w:r>
      <w:r w:rsidR="002A1547" w:rsidRPr="006E4775">
        <w:rPr>
          <w:rFonts w:ascii="Garamond" w:hAnsi="Garamond"/>
          <w:i/>
        </w:rPr>
        <w:t xml:space="preserve">: </w:t>
      </w:r>
      <w:r w:rsidRPr="006E4775">
        <w:rPr>
          <w:rFonts w:ascii="Garamond" w:hAnsi="Garamond"/>
        </w:rPr>
        <w:t xml:space="preserve">Avenida 18 de Septiembre N° 1554. </w:t>
      </w:r>
      <w:r w:rsidR="002A1547" w:rsidRPr="006E4775">
        <w:rPr>
          <w:rFonts w:ascii="Garamond" w:hAnsi="Garamond"/>
        </w:rPr>
        <w:t>Teléfono:</w:t>
      </w:r>
      <w:r w:rsidRPr="006E4775">
        <w:rPr>
          <w:rFonts w:ascii="Garamond" w:hAnsi="Garamond"/>
        </w:rPr>
        <w:t xml:space="preserve"> (0056) (58) 2231020 o (0056) (58) 2255048 </w:t>
      </w:r>
      <w:r w:rsidR="002A1547" w:rsidRPr="006E4775">
        <w:rPr>
          <w:rFonts w:ascii="Garamond" w:hAnsi="Garamond"/>
        </w:rPr>
        <w:t xml:space="preserve">. Correo: </w:t>
      </w:r>
      <w:hyperlink r:id="rId22">
        <w:r w:rsidRPr="006E4775">
          <w:rPr>
            <w:rFonts w:ascii="Garamond" w:hAnsi="Garamond"/>
            <w:color w:val="1155CC"/>
            <w:u w:val="single"/>
          </w:rPr>
          <w:t>portalwebarica@rree.gob.pe</w:t>
        </w:r>
      </w:hyperlink>
    </w:p>
    <w:p w14:paraId="20F87B7D" w14:textId="09DC1214" w:rsidR="002A1547" w:rsidRPr="006E4775" w:rsidRDefault="002A1547" w:rsidP="002A1547">
      <w:pPr>
        <w:spacing w:line="276" w:lineRule="auto"/>
        <w:jc w:val="both"/>
        <w:rPr>
          <w:rFonts w:ascii="Garamond" w:hAnsi="Garamond"/>
          <w:b/>
          <w:bCs/>
        </w:rPr>
      </w:pPr>
      <w:r w:rsidRPr="006E4775">
        <w:rPr>
          <w:rFonts w:ascii="Garamond" w:hAnsi="Garamond"/>
          <w:b/>
          <w:bCs/>
        </w:rPr>
        <w:t>Región de Tarapacá:</w:t>
      </w:r>
    </w:p>
    <w:p w14:paraId="63FC4435" w14:textId="3BE65535" w:rsidR="00E202AD" w:rsidRPr="006E4775" w:rsidRDefault="00634B3D" w:rsidP="00293B47">
      <w:pPr>
        <w:pStyle w:val="Prrafodelista"/>
        <w:numPr>
          <w:ilvl w:val="0"/>
          <w:numId w:val="3"/>
        </w:numPr>
        <w:spacing w:line="276" w:lineRule="auto"/>
        <w:jc w:val="both"/>
        <w:rPr>
          <w:rFonts w:ascii="Garamond" w:hAnsi="Garamond"/>
        </w:rPr>
      </w:pPr>
      <w:r w:rsidRPr="006E4775">
        <w:rPr>
          <w:rFonts w:ascii="Garamond" w:hAnsi="Garamond"/>
        </w:rPr>
        <w:t>Consulado</w:t>
      </w:r>
      <w:r w:rsidR="002A1547" w:rsidRPr="006E4775">
        <w:rPr>
          <w:rFonts w:ascii="Garamond" w:hAnsi="Garamond"/>
        </w:rPr>
        <w:t>:</w:t>
      </w:r>
      <w:r w:rsidRPr="006E4775">
        <w:rPr>
          <w:rFonts w:ascii="Garamond" w:hAnsi="Garamond"/>
        </w:rPr>
        <w:t xml:space="preserve"> Calle Zegers 570</w:t>
      </w:r>
      <w:r w:rsidR="002A1547" w:rsidRPr="006E4775">
        <w:rPr>
          <w:rFonts w:ascii="Garamond" w:hAnsi="Garamond"/>
        </w:rPr>
        <w:t>, Iquique. T</w:t>
      </w:r>
      <w:r w:rsidRPr="006E4775">
        <w:rPr>
          <w:rFonts w:ascii="Garamond" w:hAnsi="Garamond"/>
        </w:rPr>
        <w:t>eléfono</w:t>
      </w:r>
      <w:r w:rsidR="002A1547" w:rsidRPr="006E4775">
        <w:rPr>
          <w:rFonts w:ascii="Garamond" w:hAnsi="Garamond"/>
        </w:rPr>
        <w:t xml:space="preserve">: </w:t>
      </w:r>
      <w:r w:rsidRPr="006E4775">
        <w:rPr>
          <w:rFonts w:ascii="Garamond" w:hAnsi="Garamond"/>
        </w:rPr>
        <w:t xml:space="preserve">56 (57) 2411466 o+56977763820. </w:t>
      </w:r>
      <w:r w:rsidR="002A1547" w:rsidRPr="006E4775">
        <w:rPr>
          <w:rFonts w:ascii="Garamond" w:hAnsi="Garamond"/>
        </w:rPr>
        <w:t>Correo:</w:t>
      </w:r>
      <w:r w:rsidRPr="006E4775">
        <w:rPr>
          <w:rFonts w:ascii="Garamond" w:hAnsi="Garamond"/>
        </w:rPr>
        <w:t xml:space="preserve"> </w:t>
      </w:r>
      <w:hyperlink r:id="rId23">
        <w:r w:rsidRPr="006E4775">
          <w:rPr>
            <w:rFonts w:ascii="Garamond" w:hAnsi="Garamond"/>
            <w:color w:val="1155CC"/>
            <w:u w:val="single"/>
          </w:rPr>
          <w:t>info@conperiqq.com</w:t>
        </w:r>
      </w:hyperlink>
      <w:r w:rsidRPr="006E4775">
        <w:rPr>
          <w:rFonts w:ascii="Garamond" w:hAnsi="Garamond"/>
        </w:rPr>
        <w:t xml:space="preserve">  o  </w:t>
      </w:r>
      <w:hyperlink r:id="rId24">
        <w:r w:rsidRPr="006E4775">
          <w:rPr>
            <w:rFonts w:ascii="Garamond" w:hAnsi="Garamond"/>
            <w:color w:val="1155CC"/>
            <w:u w:val="single"/>
          </w:rPr>
          <w:t>consuladodelperu@conperiqq.com</w:t>
        </w:r>
      </w:hyperlink>
      <w:r w:rsidRPr="006E4775">
        <w:rPr>
          <w:rFonts w:ascii="Garamond" w:hAnsi="Garamond"/>
        </w:rPr>
        <w:t xml:space="preserve"> </w:t>
      </w:r>
    </w:p>
    <w:p w14:paraId="2FAE47C3" w14:textId="64B02140" w:rsidR="002A1547" w:rsidRPr="006E4775" w:rsidRDefault="002A1547" w:rsidP="002A1547">
      <w:pPr>
        <w:spacing w:line="276" w:lineRule="auto"/>
        <w:jc w:val="both"/>
        <w:rPr>
          <w:rFonts w:ascii="Garamond" w:hAnsi="Garamond"/>
          <w:b/>
          <w:bCs/>
        </w:rPr>
      </w:pPr>
      <w:r w:rsidRPr="006E4775">
        <w:rPr>
          <w:rFonts w:ascii="Garamond" w:hAnsi="Garamond"/>
          <w:b/>
          <w:bCs/>
        </w:rPr>
        <w:t>Región de Valparaíso:</w:t>
      </w:r>
    </w:p>
    <w:p w14:paraId="0000001A" w14:textId="37EF63E9" w:rsidR="009C50EA" w:rsidRPr="006E4775" w:rsidRDefault="00634B3D" w:rsidP="00293B47">
      <w:pPr>
        <w:pStyle w:val="Prrafodelista"/>
        <w:numPr>
          <w:ilvl w:val="0"/>
          <w:numId w:val="3"/>
        </w:numPr>
        <w:spacing w:line="276" w:lineRule="auto"/>
        <w:jc w:val="both"/>
        <w:rPr>
          <w:rFonts w:ascii="Garamond" w:hAnsi="Garamond"/>
        </w:rPr>
      </w:pPr>
      <w:r w:rsidRPr="006E4775">
        <w:rPr>
          <w:rFonts w:ascii="Garamond" w:hAnsi="Garamond"/>
          <w:color w:val="222222"/>
        </w:rPr>
        <w:t>Consulado</w:t>
      </w:r>
      <w:r w:rsidR="002A1547" w:rsidRPr="006E4775">
        <w:rPr>
          <w:rFonts w:ascii="Garamond" w:hAnsi="Garamond"/>
          <w:color w:val="222222"/>
        </w:rPr>
        <w:t>:</w:t>
      </w:r>
      <w:r w:rsidRPr="006E4775">
        <w:rPr>
          <w:rFonts w:ascii="Garamond" w:hAnsi="Garamond"/>
          <w:color w:val="222222"/>
        </w:rPr>
        <w:t xml:space="preserve"> Avda. Errázuriz 1178, </w:t>
      </w:r>
      <w:proofErr w:type="spellStart"/>
      <w:r w:rsidRPr="006E4775">
        <w:rPr>
          <w:rFonts w:ascii="Garamond" w:hAnsi="Garamond"/>
          <w:color w:val="222222"/>
        </w:rPr>
        <w:t>of</w:t>
      </w:r>
      <w:proofErr w:type="spellEnd"/>
      <w:r w:rsidRPr="006E4775">
        <w:rPr>
          <w:rFonts w:ascii="Garamond" w:hAnsi="Garamond"/>
          <w:color w:val="222222"/>
        </w:rPr>
        <w:t>. 71</w:t>
      </w:r>
      <w:r w:rsidR="002A1547" w:rsidRPr="006E4775">
        <w:rPr>
          <w:rFonts w:ascii="Garamond" w:hAnsi="Garamond"/>
          <w:color w:val="222222"/>
        </w:rPr>
        <w:t>, Valparaíso</w:t>
      </w:r>
      <w:r w:rsidRPr="006E4775">
        <w:rPr>
          <w:rFonts w:ascii="Garamond" w:hAnsi="Garamond"/>
          <w:color w:val="222222"/>
        </w:rPr>
        <w:t>.</w:t>
      </w:r>
      <w:r w:rsidR="002A1547" w:rsidRPr="006E4775">
        <w:rPr>
          <w:rFonts w:ascii="Garamond" w:hAnsi="Garamond"/>
          <w:color w:val="222222"/>
        </w:rPr>
        <w:t xml:space="preserve"> T</w:t>
      </w:r>
      <w:r w:rsidRPr="006E4775">
        <w:rPr>
          <w:rFonts w:ascii="Garamond" w:hAnsi="Garamond"/>
          <w:color w:val="222222"/>
        </w:rPr>
        <w:t>eléfono</w:t>
      </w:r>
      <w:r w:rsidR="002A1547" w:rsidRPr="006E4775">
        <w:rPr>
          <w:rFonts w:ascii="Garamond" w:hAnsi="Garamond"/>
          <w:color w:val="222222"/>
        </w:rPr>
        <w:t xml:space="preserve">: </w:t>
      </w:r>
      <w:r w:rsidRPr="006E4775">
        <w:rPr>
          <w:rFonts w:ascii="Garamond" w:hAnsi="Garamond"/>
          <w:color w:val="222222"/>
        </w:rPr>
        <w:t xml:space="preserve">(56) 32 2253403, </w:t>
      </w:r>
      <w:r w:rsidR="002A1547" w:rsidRPr="006E4775">
        <w:rPr>
          <w:rFonts w:ascii="Garamond" w:hAnsi="Garamond"/>
          <w:color w:val="222222"/>
        </w:rPr>
        <w:t>Correos:</w:t>
      </w:r>
      <w:r w:rsidRPr="006E4775">
        <w:rPr>
          <w:rFonts w:ascii="Garamond" w:hAnsi="Garamond"/>
          <w:color w:val="222222"/>
        </w:rPr>
        <w:t xml:space="preserve"> consulado@conpervalparaiso.cl - </w:t>
      </w:r>
      <w:hyperlink r:id="rId25">
        <w:r w:rsidRPr="006E4775">
          <w:rPr>
            <w:rFonts w:ascii="Garamond" w:hAnsi="Garamond"/>
            <w:color w:val="1155CC"/>
            <w:u w:val="single"/>
          </w:rPr>
          <w:t>conpervalparaiso@gmail.com</w:t>
        </w:r>
      </w:hyperlink>
      <w:r w:rsidRPr="006E4775">
        <w:rPr>
          <w:rFonts w:ascii="Garamond" w:hAnsi="Garamond"/>
          <w:color w:val="222222"/>
        </w:rPr>
        <w:t xml:space="preserve"> </w:t>
      </w:r>
    </w:p>
    <w:p w14:paraId="0000001C" w14:textId="57D768F4" w:rsidR="00E652DE" w:rsidRPr="006E4775" w:rsidRDefault="00E652DE" w:rsidP="00293B47">
      <w:pPr>
        <w:spacing w:line="276" w:lineRule="auto"/>
        <w:jc w:val="both"/>
        <w:rPr>
          <w:rFonts w:ascii="Garamond" w:hAnsi="Garamond"/>
        </w:rPr>
      </w:pPr>
      <w:bookmarkStart w:id="15" w:name="_heading=h.gjdgxs" w:colFirst="0" w:colLast="0"/>
      <w:bookmarkEnd w:id="15"/>
      <w:r w:rsidRPr="006E4775">
        <w:rPr>
          <w:rFonts w:ascii="Garamond" w:hAnsi="Garamond"/>
        </w:rPr>
        <w:br w:type="page"/>
      </w:r>
    </w:p>
    <w:p w14:paraId="039DD82E" w14:textId="01081A15" w:rsidR="00AA1CC6" w:rsidRPr="006E4775" w:rsidRDefault="00AA1CC6" w:rsidP="00AA1CC6">
      <w:pPr>
        <w:pStyle w:val="Ttulo2"/>
      </w:pPr>
      <w:bookmarkStart w:id="16" w:name="_Toc108799426"/>
      <w:r w:rsidRPr="006E4775">
        <w:lastRenderedPageBreak/>
        <w:t>Estado Plurinacional de Bolivia (</w:t>
      </w:r>
      <w:proofErr w:type="spellStart"/>
      <w:r w:rsidRPr="006E4775">
        <w:t>Puliwya</w:t>
      </w:r>
      <w:proofErr w:type="spellEnd"/>
      <w:r w:rsidRPr="006E4775">
        <w:t xml:space="preserve"> </w:t>
      </w:r>
      <w:proofErr w:type="spellStart"/>
      <w:r w:rsidRPr="006E4775">
        <w:t>Achka</w:t>
      </w:r>
      <w:proofErr w:type="spellEnd"/>
      <w:r w:rsidRPr="006E4775">
        <w:t xml:space="preserve"> </w:t>
      </w:r>
      <w:proofErr w:type="spellStart"/>
      <w:r w:rsidRPr="006E4775">
        <w:t>Aylluska</w:t>
      </w:r>
      <w:proofErr w:type="spellEnd"/>
      <w:r w:rsidRPr="006E4775">
        <w:t xml:space="preserve"> </w:t>
      </w:r>
      <w:proofErr w:type="spellStart"/>
      <w:r w:rsidRPr="006E4775">
        <w:t>Mamallaqta</w:t>
      </w:r>
      <w:proofErr w:type="spellEnd"/>
      <w:r w:rsidRPr="006E4775">
        <w:rPr>
          <w:rStyle w:val="Refdenotaalpie"/>
        </w:rPr>
        <w:footnoteReference w:id="12"/>
      </w:r>
      <w:r w:rsidRPr="006E4775">
        <w:t xml:space="preserve">, </w:t>
      </w:r>
      <w:proofErr w:type="spellStart"/>
      <w:r w:rsidRPr="006E4775">
        <w:t>Wuliwya</w:t>
      </w:r>
      <w:proofErr w:type="spellEnd"/>
      <w:r w:rsidRPr="006E4775">
        <w:t xml:space="preserve"> </w:t>
      </w:r>
      <w:proofErr w:type="spellStart"/>
      <w:r w:rsidRPr="006E4775">
        <w:t>Walja</w:t>
      </w:r>
      <w:proofErr w:type="spellEnd"/>
      <w:r w:rsidRPr="006E4775">
        <w:t xml:space="preserve"> </w:t>
      </w:r>
      <w:proofErr w:type="spellStart"/>
      <w:r w:rsidRPr="006E4775">
        <w:t>Suyunakana</w:t>
      </w:r>
      <w:proofErr w:type="spellEnd"/>
      <w:r w:rsidRPr="006E4775">
        <w:t xml:space="preserve"> </w:t>
      </w:r>
      <w:proofErr w:type="spellStart"/>
      <w:r w:rsidRPr="006E4775">
        <w:t>Marka</w:t>
      </w:r>
      <w:proofErr w:type="spellEnd"/>
      <w:r w:rsidRPr="006E4775">
        <w:rPr>
          <w:rStyle w:val="Refdenotaalpie"/>
        </w:rPr>
        <w:footnoteReference w:id="13"/>
      </w:r>
      <w:r w:rsidRPr="006E4775">
        <w:t xml:space="preserve">, </w:t>
      </w:r>
      <w:proofErr w:type="spellStart"/>
      <w:r w:rsidRPr="006E4775">
        <w:t>Tetã</w:t>
      </w:r>
      <w:proofErr w:type="spellEnd"/>
      <w:r w:rsidRPr="006E4775">
        <w:t xml:space="preserve"> </w:t>
      </w:r>
      <w:proofErr w:type="spellStart"/>
      <w:r w:rsidRPr="006E4775">
        <w:t>Hetãvoregua</w:t>
      </w:r>
      <w:proofErr w:type="spellEnd"/>
      <w:r w:rsidRPr="006E4775">
        <w:t xml:space="preserve"> </w:t>
      </w:r>
      <w:proofErr w:type="spellStart"/>
      <w:r w:rsidRPr="006E4775">
        <w:t>Mborívia</w:t>
      </w:r>
      <w:proofErr w:type="spellEnd"/>
      <w:r w:rsidRPr="006E4775">
        <w:rPr>
          <w:rStyle w:val="Refdenotaalpie"/>
        </w:rPr>
        <w:footnoteReference w:id="14"/>
      </w:r>
      <w:r w:rsidRPr="006E4775">
        <w:t>)</w:t>
      </w:r>
      <w:bookmarkEnd w:id="16"/>
    </w:p>
    <w:p w14:paraId="597B21F2" w14:textId="77777777" w:rsidR="00AA1CC6" w:rsidRPr="006E4775" w:rsidRDefault="00AA1CC6" w:rsidP="00C75DBA">
      <w:pPr>
        <w:pStyle w:val="Ttulo3"/>
      </w:pPr>
      <w:bookmarkStart w:id="17" w:name="_Toc108799427"/>
      <w:r w:rsidRPr="006E4775">
        <w:t>Datos sociodemográficos</w:t>
      </w:r>
      <w:bookmarkEnd w:id="17"/>
      <w:r w:rsidRPr="006E4775">
        <w:rPr>
          <w:noProof/>
        </w:rPr>
        <w:t xml:space="preserve"> </w:t>
      </w:r>
    </w:p>
    <w:p w14:paraId="63D21475" w14:textId="77777777"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noProof/>
        </w:rPr>
        <w:drawing>
          <wp:anchor distT="0" distB="0" distL="114300" distR="114300" simplePos="0" relativeHeight="251680768" behindDoc="1" locked="0" layoutInCell="1" allowOverlap="1" wp14:anchorId="0953095A" wp14:editId="519A78FE">
            <wp:simplePos x="0" y="0"/>
            <wp:positionH relativeFrom="column">
              <wp:posOffset>2586990</wp:posOffset>
            </wp:positionH>
            <wp:positionV relativeFrom="paragraph">
              <wp:posOffset>10160</wp:posOffset>
            </wp:positionV>
            <wp:extent cx="3714750" cy="3933825"/>
            <wp:effectExtent l="0" t="0" r="0" b="9525"/>
            <wp:wrapTight wrapText="bothSides">
              <wp:wrapPolygon edited="0">
                <wp:start x="0" y="0"/>
                <wp:lineTo x="0" y="21548"/>
                <wp:lineTo x="21489" y="21548"/>
                <wp:lineTo x="21489" y="0"/>
                <wp:lineTo x="0" y="0"/>
              </wp:wrapPolygon>
            </wp:wrapTight>
            <wp:docPr id="7" name="image6.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7" name="image6.png" descr="Mapa&#10;&#10;Descripción generada automáticamente"/>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714750" cy="3933825"/>
                    </a:xfrm>
                    <a:prstGeom prst="rect">
                      <a:avLst/>
                    </a:prstGeom>
                    <a:ln/>
                  </pic:spPr>
                </pic:pic>
              </a:graphicData>
            </a:graphic>
            <wp14:sizeRelH relativeFrom="margin">
              <wp14:pctWidth>0</wp14:pctWidth>
            </wp14:sizeRelH>
            <wp14:sizeRelV relativeFrom="margin">
              <wp14:pctHeight>0</wp14:pctHeight>
            </wp14:sizeRelV>
          </wp:anchor>
        </w:drawing>
      </w:r>
      <w:r w:rsidRPr="006E4775">
        <w:rPr>
          <w:rFonts w:ascii="Garamond" w:hAnsi="Garamond"/>
          <w:b/>
          <w:bCs/>
          <w:i/>
        </w:rPr>
        <w:t>Población</w:t>
      </w:r>
      <w:r w:rsidRPr="006E4775">
        <w:rPr>
          <w:rFonts w:ascii="Garamond" w:hAnsi="Garamond"/>
          <w:i/>
        </w:rPr>
        <w:t>:</w:t>
      </w:r>
      <w:r w:rsidRPr="006E4775">
        <w:rPr>
          <w:rFonts w:ascii="Garamond" w:hAnsi="Garamond"/>
        </w:rPr>
        <w:t xml:space="preserve"> 11.832.940 (Banco mundial, 2021)</w:t>
      </w:r>
    </w:p>
    <w:p w14:paraId="0D67BAA7" w14:textId="77777777"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Porcentaje de NNAJ</w:t>
      </w:r>
      <w:r w:rsidRPr="006E4775">
        <w:rPr>
          <w:rFonts w:ascii="Garamond" w:hAnsi="Garamond"/>
          <w:i/>
        </w:rPr>
        <w:t>:</w:t>
      </w:r>
      <w:r w:rsidRPr="006E4775">
        <w:rPr>
          <w:rFonts w:ascii="Garamond" w:hAnsi="Garamond"/>
        </w:rPr>
        <w:t xml:space="preserve"> 25% al 2012 (INE, 11 de abril del 2014)</w:t>
      </w:r>
    </w:p>
    <w:p w14:paraId="5F704C97" w14:textId="77777777"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 xml:space="preserve">Idioma: </w:t>
      </w:r>
      <w:r w:rsidRPr="006E4775">
        <w:rPr>
          <w:rFonts w:ascii="Garamond" w:hAnsi="Garamond"/>
          <w:iCs/>
        </w:rPr>
        <w:t>El</w:t>
      </w:r>
      <w:r w:rsidRPr="006E4775">
        <w:rPr>
          <w:rFonts w:ascii="Garamond" w:hAnsi="Garamond"/>
          <w:b/>
          <w:bCs/>
          <w:i/>
        </w:rPr>
        <w:t xml:space="preserve"> </w:t>
      </w:r>
      <w:r w:rsidRPr="006E4775">
        <w:rPr>
          <w:rFonts w:ascii="Garamond" w:hAnsi="Garamond"/>
          <w:iCs/>
        </w:rPr>
        <w:t xml:space="preserve">castellano y todos los idiomas de las naciones y pueblos indígena originario campesinos, que son el </w:t>
      </w:r>
      <w:proofErr w:type="spellStart"/>
      <w:r w:rsidRPr="006E4775">
        <w:rPr>
          <w:rFonts w:ascii="Garamond" w:hAnsi="Garamond"/>
          <w:iCs/>
        </w:rPr>
        <w:t>aymara</w:t>
      </w:r>
      <w:proofErr w:type="spellEnd"/>
      <w:r w:rsidRPr="006E4775">
        <w:rPr>
          <w:rFonts w:ascii="Garamond" w:hAnsi="Garamond"/>
          <w:iCs/>
        </w:rPr>
        <w:t xml:space="preserve">, </w:t>
      </w:r>
      <w:proofErr w:type="spellStart"/>
      <w:r w:rsidRPr="006E4775">
        <w:rPr>
          <w:rFonts w:ascii="Garamond" w:hAnsi="Garamond"/>
          <w:iCs/>
        </w:rPr>
        <w:t>araona</w:t>
      </w:r>
      <w:proofErr w:type="spellEnd"/>
      <w:r w:rsidRPr="006E4775">
        <w:rPr>
          <w:rFonts w:ascii="Garamond" w:hAnsi="Garamond"/>
          <w:iCs/>
        </w:rPr>
        <w:t xml:space="preserve">, baure, </w:t>
      </w:r>
      <w:proofErr w:type="spellStart"/>
      <w:r w:rsidRPr="006E4775">
        <w:rPr>
          <w:rFonts w:ascii="Garamond" w:hAnsi="Garamond"/>
          <w:iCs/>
        </w:rPr>
        <w:t>bésiro</w:t>
      </w:r>
      <w:proofErr w:type="spellEnd"/>
      <w:r w:rsidRPr="006E4775">
        <w:rPr>
          <w:rFonts w:ascii="Garamond" w:hAnsi="Garamond"/>
          <w:iCs/>
        </w:rPr>
        <w:t xml:space="preserve">, </w:t>
      </w:r>
      <w:proofErr w:type="spellStart"/>
      <w:r w:rsidRPr="006E4775">
        <w:rPr>
          <w:rFonts w:ascii="Garamond" w:hAnsi="Garamond"/>
          <w:iCs/>
        </w:rPr>
        <w:t>canichana</w:t>
      </w:r>
      <w:proofErr w:type="spellEnd"/>
      <w:r w:rsidRPr="006E4775">
        <w:rPr>
          <w:rFonts w:ascii="Garamond" w:hAnsi="Garamond"/>
          <w:iCs/>
        </w:rPr>
        <w:t xml:space="preserve">, </w:t>
      </w:r>
      <w:proofErr w:type="spellStart"/>
      <w:r w:rsidRPr="006E4775">
        <w:rPr>
          <w:rFonts w:ascii="Garamond" w:hAnsi="Garamond"/>
          <w:iCs/>
        </w:rPr>
        <w:t>cavineño</w:t>
      </w:r>
      <w:proofErr w:type="spellEnd"/>
      <w:r w:rsidRPr="006E4775">
        <w:rPr>
          <w:rFonts w:ascii="Garamond" w:hAnsi="Garamond"/>
          <w:iCs/>
        </w:rPr>
        <w:t xml:space="preserve">, cayubaba, </w:t>
      </w:r>
      <w:proofErr w:type="spellStart"/>
      <w:r w:rsidRPr="006E4775">
        <w:rPr>
          <w:rFonts w:ascii="Garamond" w:hAnsi="Garamond"/>
          <w:iCs/>
        </w:rPr>
        <w:t>chácobo</w:t>
      </w:r>
      <w:proofErr w:type="spellEnd"/>
      <w:r w:rsidRPr="006E4775">
        <w:rPr>
          <w:rFonts w:ascii="Garamond" w:hAnsi="Garamond"/>
          <w:iCs/>
        </w:rPr>
        <w:t xml:space="preserve">, </w:t>
      </w:r>
      <w:proofErr w:type="spellStart"/>
      <w:r w:rsidRPr="006E4775">
        <w:rPr>
          <w:rFonts w:ascii="Garamond" w:hAnsi="Garamond"/>
          <w:iCs/>
        </w:rPr>
        <w:t>chimán</w:t>
      </w:r>
      <w:proofErr w:type="spellEnd"/>
      <w:r w:rsidRPr="006E4775">
        <w:rPr>
          <w:rFonts w:ascii="Garamond" w:hAnsi="Garamond"/>
          <w:iCs/>
        </w:rPr>
        <w:t xml:space="preserve">, ese </w:t>
      </w:r>
      <w:proofErr w:type="spellStart"/>
      <w:r w:rsidRPr="006E4775">
        <w:rPr>
          <w:rFonts w:ascii="Garamond" w:hAnsi="Garamond"/>
          <w:iCs/>
        </w:rPr>
        <w:t>ejja</w:t>
      </w:r>
      <w:proofErr w:type="spellEnd"/>
      <w:r w:rsidRPr="006E4775">
        <w:rPr>
          <w:rFonts w:ascii="Garamond" w:hAnsi="Garamond"/>
          <w:iCs/>
        </w:rPr>
        <w:t xml:space="preserve">, guaraní, </w:t>
      </w:r>
      <w:proofErr w:type="spellStart"/>
      <w:r w:rsidRPr="006E4775">
        <w:rPr>
          <w:rFonts w:ascii="Garamond" w:hAnsi="Garamond"/>
          <w:iCs/>
        </w:rPr>
        <w:t>guarasuwe</w:t>
      </w:r>
      <w:proofErr w:type="spellEnd"/>
      <w:r w:rsidRPr="006E4775">
        <w:rPr>
          <w:rFonts w:ascii="Garamond" w:hAnsi="Garamond"/>
          <w:iCs/>
        </w:rPr>
        <w:t xml:space="preserve">, </w:t>
      </w:r>
      <w:proofErr w:type="spellStart"/>
      <w:r w:rsidRPr="006E4775">
        <w:rPr>
          <w:rFonts w:ascii="Garamond" w:hAnsi="Garamond"/>
          <w:iCs/>
        </w:rPr>
        <w:t>guarayu</w:t>
      </w:r>
      <w:proofErr w:type="spellEnd"/>
      <w:r w:rsidRPr="006E4775">
        <w:rPr>
          <w:rFonts w:ascii="Garamond" w:hAnsi="Garamond"/>
          <w:iCs/>
        </w:rPr>
        <w:t xml:space="preserve">, </w:t>
      </w:r>
      <w:proofErr w:type="spellStart"/>
      <w:r w:rsidRPr="006E4775">
        <w:rPr>
          <w:rFonts w:ascii="Garamond" w:hAnsi="Garamond"/>
          <w:iCs/>
        </w:rPr>
        <w:t>itonama</w:t>
      </w:r>
      <w:proofErr w:type="spellEnd"/>
      <w:r w:rsidRPr="006E4775">
        <w:rPr>
          <w:rFonts w:ascii="Garamond" w:hAnsi="Garamond"/>
          <w:iCs/>
        </w:rPr>
        <w:t xml:space="preserve">, leco, </w:t>
      </w:r>
      <w:proofErr w:type="spellStart"/>
      <w:r w:rsidRPr="006E4775">
        <w:rPr>
          <w:rFonts w:ascii="Garamond" w:hAnsi="Garamond"/>
          <w:iCs/>
        </w:rPr>
        <w:t>machajuyaikallawaya</w:t>
      </w:r>
      <w:proofErr w:type="spellEnd"/>
      <w:r w:rsidRPr="006E4775">
        <w:rPr>
          <w:rFonts w:ascii="Garamond" w:hAnsi="Garamond"/>
          <w:iCs/>
        </w:rPr>
        <w:t xml:space="preserve">, </w:t>
      </w:r>
      <w:proofErr w:type="spellStart"/>
      <w:r w:rsidRPr="006E4775">
        <w:rPr>
          <w:rFonts w:ascii="Garamond" w:hAnsi="Garamond"/>
          <w:iCs/>
        </w:rPr>
        <w:t>machineri</w:t>
      </w:r>
      <w:proofErr w:type="spellEnd"/>
      <w:r w:rsidRPr="006E4775">
        <w:rPr>
          <w:rFonts w:ascii="Garamond" w:hAnsi="Garamond"/>
          <w:iCs/>
        </w:rPr>
        <w:t xml:space="preserve">, </w:t>
      </w:r>
      <w:proofErr w:type="spellStart"/>
      <w:r w:rsidRPr="006E4775">
        <w:rPr>
          <w:rFonts w:ascii="Garamond" w:hAnsi="Garamond"/>
          <w:iCs/>
        </w:rPr>
        <w:t>maropa</w:t>
      </w:r>
      <w:proofErr w:type="spellEnd"/>
      <w:r w:rsidRPr="006E4775">
        <w:rPr>
          <w:rFonts w:ascii="Garamond" w:hAnsi="Garamond"/>
          <w:iCs/>
        </w:rPr>
        <w:t xml:space="preserve">, mojeño-trinitario, mojeño-ignaciano, moré, </w:t>
      </w:r>
      <w:proofErr w:type="spellStart"/>
      <w:r w:rsidRPr="006E4775">
        <w:rPr>
          <w:rFonts w:ascii="Garamond" w:hAnsi="Garamond"/>
          <w:iCs/>
        </w:rPr>
        <w:t>mosetén</w:t>
      </w:r>
      <w:proofErr w:type="spellEnd"/>
      <w:r w:rsidRPr="006E4775">
        <w:rPr>
          <w:rFonts w:ascii="Garamond" w:hAnsi="Garamond"/>
          <w:iCs/>
        </w:rPr>
        <w:t xml:space="preserve">, movima, </w:t>
      </w:r>
      <w:proofErr w:type="spellStart"/>
      <w:r w:rsidRPr="006E4775">
        <w:rPr>
          <w:rFonts w:ascii="Garamond" w:hAnsi="Garamond"/>
          <w:iCs/>
        </w:rPr>
        <w:t>pacawara</w:t>
      </w:r>
      <w:proofErr w:type="spellEnd"/>
      <w:r w:rsidRPr="006E4775">
        <w:rPr>
          <w:rFonts w:ascii="Garamond" w:hAnsi="Garamond"/>
          <w:iCs/>
        </w:rPr>
        <w:t xml:space="preserve">, puquina, quechua, </w:t>
      </w:r>
      <w:proofErr w:type="spellStart"/>
      <w:r w:rsidRPr="006E4775">
        <w:rPr>
          <w:rFonts w:ascii="Garamond" w:hAnsi="Garamond"/>
          <w:iCs/>
        </w:rPr>
        <w:t>sirionó</w:t>
      </w:r>
      <w:proofErr w:type="spellEnd"/>
      <w:r w:rsidRPr="006E4775">
        <w:rPr>
          <w:rFonts w:ascii="Garamond" w:hAnsi="Garamond"/>
          <w:iCs/>
        </w:rPr>
        <w:t xml:space="preserve">, tacana, </w:t>
      </w:r>
      <w:proofErr w:type="spellStart"/>
      <w:r w:rsidRPr="006E4775">
        <w:rPr>
          <w:rFonts w:ascii="Garamond" w:hAnsi="Garamond"/>
          <w:iCs/>
        </w:rPr>
        <w:t>tapiete</w:t>
      </w:r>
      <w:proofErr w:type="spellEnd"/>
      <w:r w:rsidRPr="006E4775">
        <w:rPr>
          <w:rFonts w:ascii="Garamond" w:hAnsi="Garamond"/>
          <w:iCs/>
        </w:rPr>
        <w:t xml:space="preserve">, </w:t>
      </w:r>
      <w:proofErr w:type="spellStart"/>
      <w:r w:rsidRPr="006E4775">
        <w:rPr>
          <w:rFonts w:ascii="Garamond" w:hAnsi="Garamond"/>
          <w:iCs/>
        </w:rPr>
        <w:t>toromona</w:t>
      </w:r>
      <w:proofErr w:type="spellEnd"/>
      <w:r w:rsidRPr="006E4775">
        <w:rPr>
          <w:rFonts w:ascii="Garamond" w:hAnsi="Garamond"/>
          <w:iCs/>
        </w:rPr>
        <w:t>, uru-</w:t>
      </w:r>
      <w:proofErr w:type="spellStart"/>
      <w:r w:rsidRPr="006E4775">
        <w:rPr>
          <w:rFonts w:ascii="Garamond" w:hAnsi="Garamond"/>
          <w:iCs/>
        </w:rPr>
        <w:t>chipaya</w:t>
      </w:r>
      <w:proofErr w:type="spellEnd"/>
      <w:r w:rsidRPr="006E4775">
        <w:rPr>
          <w:rFonts w:ascii="Garamond" w:hAnsi="Garamond"/>
          <w:iCs/>
        </w:rPr>
        <w:t xml:space="preserve">, </w:t>
      </w:r>
      <w:proofErr w:type="spellStart"/>
      <w:r w:rsidRPr="006E4775">
        <w:rPr>
          <w:rFonts w:ascii="Garamond" w:hAnsi="Garamond"/>
          <w:iCs/>
        </w:rPr>
        <w:t>weenhayek</w:t>
      </w:r>
      <w:proofErr w:type="spellEnd"/>
      <w:r w:rsidRPr="006E4775">
        <w:rPr>
          <w:rFonts w:ascii="Garamond" w:hAnsi="Garamond"/>
          <w:iCs/>
        </w:rPr>
        <w:t xml:space="preserve">, </w:t>
      </w:r>
      <w:proofErr w:type="spellStart"/>
      <w:r w:rsidRPr="006E4775">
        <w:rPr>
          <w:rFonts w:ascii="Garamond" w:hAnsi="Garamond"/>
          <w:iCs/>
        </w:rPr>
        <w:t>yaminawa</w:t>
      </w:r>
      <w:proofErr w:type="spellEnd"/>
      <w:r w:rsidRPr="006E4775">
        <w:rPr>
          <w:rFonts w:ascii="Garamond" w:hAnsi="Garamond"/>
          <w:iCs/>
        </w:rPr>
        <w:t xml:space="preserve">, yuki, </w:t>
      </w:r>
      <w:proofErr w:type="spellStart"/>
      <w:r w:rsidRPr="006E4775">
        <w:rPr>
          <w:rFonts w:ascii="Garamond" w:hAnsi="Garamond"/>
          <w:iCs/>
        </w:rPr>
        <w:t>yuracaré</w:t>
      </w:r>
      <w:proofErr w:type="spellEnd"/>
      <w:r w:rsidRPr="006E4775">
        <w:rPr>
          <w:rFonts w:ascii="Garamond" w:hAnsi="Garamond"/>
          <w:iCs/>
        </w:rPr>
        <w:t xml:space="preserve"> y </w:t>
      </w:r>
      <w:proofErr w:type="spellStart"/>
      <w:r w:rsidRPr="006E4775">
        <w:rPr>
          <w:rFonts w:ascii="Garamond" w:hAnsi="Garamond"/>
          <w:iCs/>
        </w:rPr>
        <w:t>zamuco</w:t>
      </w:r>
      <w:proofErr w:type="spellEnd"/>
      <w:r w:rsidRPr="006E4775">
        <w:rPr>
          <w:rFonts w:ascii="Garamond" w:hAnsi="Garamond"/>
          <w:iCs/>
        </w:rPr>
        <w:t xml:space="preserve"> (Constitución de Bolivia)</w:t>
      </w:r>
    </w:p>
    <w:p w14:paraId="72373856" w14:textId="77777777"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PIB</w:t>
      </w:r>
      <w:r w:rsidRPr="006E4775">
        <w:rPr>
          <w:rFonts w:ascii="Garamond" w:hAnsi="Garamond"/>
          <w:i/>
        </w:rPr>
        <w:t>:</w:t>
      </w:r>
      <w:r w:rsidRPr="006E4775">
        <w:rPr>
          <w:rFonts w:ascii="Garamond" w:hAnsi="Garamond"/>
        </w:rPr>
        <w:t xml:space="preserve"> </w:t>
      </w:r>
      <w:r w:rsidRPr="003E2C7C">
        <w:rPr>
          <w:rFonts w:ascii="Garamond" w:hAnsi="Garamond"/>
        </w:rPr>
        <w:t xml:space="preserve">US$ </w:t>
      </w:r>
      <w:r w:rsidRPr="006E4775">
        <w:rPr>
          <w:rFonts w:ascii="Garamond" w:hAnsi="Garamond"/>
        </w:rPr>
        <w:t>40,41</w:t>
      </w:r>
      <w:r w:rsidRPr="003E2C7C">
        <w:rPr>
          <w:rFonts w:ascii="Garamond" w:hAnsi="Garamond"/>
        </w:rPr>
        <w:t xml:space="preserve"> </w:t>
      </w:r>
      <w:r w:rsidRPr="006E4775">
        <w:rPr>
          <w:rFonts w:ascii="Garamond" w:hAnsi="Garamond"/>
        </w:rPr>
        <w:t>miles de millones de dólares al 2021 (Banco Mundial, 2021)</w:t>
      </w:r>
    </w:p>
    <w:p w14:paraId="4B792245" w14:textId="77777777"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PIB per cápita</w:t>
      </w:r>
      <w:r w:rsidRPr="003E2C7C">
        <w:rPr>
          <w:rFonts w:ascii="Garamond" w:hAnsi="Garamond"/>
        </w:rPr>
        <w:t>: US$ 3.414,9 (Banco Mundial, 2021)</w:t>
      </w:r>
    </w:p>
    <w:p w14:paraId="0124819E" w14:textId="27DB6123"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Nivel de pobreza</w:t>
      </w:r>
      <w:r w:rsidRPr="006E4775">
        <w:rPr>
          <w:rFonts w:ascii="Garamond" w:hAnsi="Garamond"/>
          <w:i/>
        </w:rPr>
        <w:t xml:space="preserve">: </w:t>
      </w:r>
      <w:r w:rsidRPr="006E4775">
        <w:rPr>
          <w:rFonts w:ascii="Garamond" w:hAnsi="Garamond"/>
        </w:rPr>
        <w:t>4,4 % (Banco Mundial, 2020)</w:t>
      </w:r>
    </w:p>
    <w:p w14:paraId="708D47FD" w14:textId="77777777" w:rsidR="00AA1CC6" w:rsidRPr="006E4775" w:rsidRDefault="00AA1CC6" w:rsidP="00AA1CC6">
      <w:pPr>
        <w:pStyle w:val="Prrafodelista"/>
        <w:numPr>
          <w:ilvl w:val="0"/>
          <w:numId w:val="4"/>
        </w:numPr>
        <w:spacing w:line="276" w:lineRule="auto"/>
        <w:ind w:left="584" w:hanging="357"/>
        <w:jc w:val="both"/>
        <w:rPr>
          <w:rFonts w:ascii="Garamond" w:hAnsi="Garamond"/>
          <w:iCs/>
        </w:rPr>
      </w:pPr>
      <w:r w:rsidRPr="006E4775">
        <w:rPr>
          <w:rFonts w:ascii="Garamond" w:hAnsi="Garamond"/>
          <w:b/>
          <w:bCs/>
          <w:i/>
        </w:rPr>
        <w:t>Índice de desarrollo humano</w:t>
      </w:r>
      <w:r w:rsidRPr="006E4775">
        <w:rPr>
          <w:rFonts w:ascii="Garamond" w:hAnsi="Garamond"/>
          <w:i/>
        </w:rPr>
        <w:t xml:space="preserve">: </w:t>
      </w:r>
      <w:r w:rsidRPr="006E4775">
        <w:rPr>
          <w:rFonts w:ascii="Garamond" w:hAnsi="Garamond"/>
        </w:rPr>
        <w:t>0,718 (PNUD, 2019)</w:t>
      </w:r>
    </w:p>
    <w:p w14:paraId="770F9A96" w14:textId="77777777" w:rsidR="00AA1CC6" w:rsidRPr="006E4775" w:rsidRDefault="00AA1CC6" w:rsidP="00AA1CC6">
      <w:pPr>
        <w:pStyle w:val="Prrafodelista"/>
        <w:numPr>
          <w:ilvl w:val="0"/>
          <w:numId w:val="4"/>
        </w:numPr>
        <w:spacing w:line="276" w:lineRule="auto"/>
        <w:ind w:left="584" w:hanging="357"/>
        <w:jc w:val="both"/>
        <w:rPr>
          <w:rFonts w:ascii="Garamond" w:hAnsi="Garamond"/>
          <w:iCs/>
        </w:rPr>
      </w:pPr>
      <w:r w:rsidRPr="006E4775">
        <w:rPr>
          <w:rFonts w:ascii="Garamond" w:hAnsi="Garamond"/>
          <w:b/>
          <w:bCs/>
          <w:i/>
        </w:rPr>
        <w:t xml:space="preserve">Desempleo (% de población activa total): </w:t>
      </w:r>
      <w:r w:rsidRPr="006E4775">
        <w:rPr>
          <w:rFonts w:ascii="Garamond" w:hAnsi="Garamond"/>
          <w:iCs/>
        </w:rPr>
        <w:t>8,5% (Banco mundial, 2021)</w:t>
      </w:r>
    </w:p>
    <w:p w14:paraId="2CAA649B" w14:textId="77777777"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Esperanza de vida al nacer:</w:t>
      </w:r>
      <w:r w:rsidRPr="006E4775">
        <w:rPr>
          <w:rFonts w:ascii="Garamond" w:hAnsi="Garamond"/>
        </w:rPr>
        <w:t xml:space="preserve"> 72 años (Banco Mundial, 2020)</w:t>
      </w:r>
    </w:p>
    <w:p w14:paraId="1FE24861" w14:textId="77777777"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 xml:space="preserve">Tasa de homicidios intencionales (por cada 100.000 habitantes): </w:t>
      </w:r>
      <w:r w:rsidRPr="006E4775">
        <w:rPr>
          <w:rFonts w:ascii="Garamond" w:hAnsi="Garamond"/>
          <w:iCs/>
        </w:rPr>
        <w:t xml:space="preserve">7 </w:t>
      </w:r>
      <w:r w:rsidRPr="006E4775">
        <w:rPr>
          <w:rFonts w:ascii="Garamond" w:hAnsi="Garamond"/>
        </w:rPr>
        <w:t>(Banco Mundial, 2020)</w:t>
      </w:r>
    </w:p>
    <w:p w14:paraId="46FF8250" w14:textId="402007E3" w:rsidR="00AA1CC6" w:rsidRPr="006E4775" w:rsidRDefault="00AA1CC6" w:rsidP="00AA1CC6">
      <w:pPr>
        <w:pStyle w:val="Prrafodelista"/>
        <w:numPr>
          <w:ilvl w:val="0"/>
          <w:numId w:val="4"/>
        </w:numPr>
        <w:spacing w:line="276" w:lineRule="auto"/>
        <w:ind w:left="584" w:hanging="357"/>
        <w:jc w:val="both"/>
        <w:rPr>
          <w:rFonts w:ascii="Garamond" w:hAnsi="Garamond"/>
        </w:rPr>
      </w:pPr>
      <w:r w:rsidRPr="006E4775">
        <w:rPr>
          <w:rFonts w:ascii="Garamond" w:hAnsi="Garamond"/>
          <w:b/>
          <w:bCs/>
          <w:i/>
        </w:rPr>
        <w:t>Migración</w:t>
      </w:r>
      <w:r w:rsidRPr="006E4775">
        <w:rPr>
          <w:rFonts w:ascii="Garamond" w:hAnsi="Garamond"/>
          <w:b/>
          <w:bCs/>
          <w:iCs/>
        </w:rPr>
        <w:t xml:space="preserve"> </w:t>
      </w:r>
      <w:r w:rsidRPr="006E4775">
        <w:rPr>
          <w:rFonts w:ascii="Garamond" w:hAnsi="Garamond"/>
          <w:b/>
          <w:bCs/>
          <w:i/>
          <w:iCs/>
        </w:rPr>
        <w:t>neta:</w:t>
      </w:r>
      <w:r w:rsidRPr="006E4775">
        <w:rPr>
          <w:rFonts w:ascii="Garamond" w:hAnsi="Garamond"/>
        </w:rPr>
        <w:t xml:space="preserve"> - 47.520 (Banco Mundial, 2017).</w:t>
      </w:r>
    </w:p>
    <w:p w14:paraId="5336FF11" w14:textId="77777777" w:rsidR="00AA1CC6" w:rsidRPr="006E4775" w:rsidRDefault="00AA1CC6" w:rsidP="004566A6">
      <w:pPr>
        <w:pStyle w:val="Ttulo3"/>
      </w:pPr>
      <w:bookmarkStart w:id="18" w:name="_Toc108799428"/>
      <w:r w:rsidRPr="006E4775">
        <w:t>Descripción fenómeno migratorio del país</w:t>
      </w:r>
      <w:bookmarkEnd w:id="18"/>
    </w:p>
    <w:p w14:paraId="7FE41E5E" w14:textId="77777777" w:rsidR="00AA1CC6" w:rsidRPr="006E4775" w:rsidRDefault="00AA1CC6" w:rsidP="00AA1CC6">
      <w:pPr>
        <w:spacing w:line="276" w:lineRule="auto"/>
        <w:jc w:val="both"/>
        <w:rPr>
          <w:rFonts w:ascii="Garamond" w:hAnsi="Garamond"/>
        </w:rPr>
      </w:pPr>
      <w:r w:rsidRPr="006E4775">
        <w:rPr>
          <w:rFonts w:ascii="Garamond" w:hAnsi="Garamond"/>
        </w:rPr>
        <w:t>Para el 2019, 7,6% de la población boliviana ha emigrado fuera del país (</w:t>
      </w:r>
      <w:proofErr w:type="spellStart"/>
      <w:r w:rsidRPr="006E4775">
        <w:rPr>
          <w:rFonts w:ascii="Garamond" w:hAnsi="Garamond"/>
        </w:rPr>
        <w:t>DatosMacro</w:t>
      </w:r>
      <w:proofErr w:type="spellEnd"/>
      <w:r w:rsidRPr="006E4775">
        <w:rPr>
          <w:rFonts w:ascii="Garamond" w:hAnsi="Garamond"/>
        </w:rPr>
        <w:t>, 2019a).</w:t>
      </w:r>
    </w:p>
    <w:p w14:paraId="6D6DEB44" w14:textId="77777777" w:rsidR="00AA1CC6" w:rsidRPr="006E4775" w:rsidRDefault="00AA1CC6" w:rsidP="00AA1CC6">
      <w:pPr>
        <w:spacing w:line="276" w:lineRule="auto"/>
        <w:jc w:val="both"/>
        <w:rPr>
          <w:rFonts w:ascii="Garamond" w:hAnsi="Garamond"/>
        </w:rPr>
      </w:pPr>
      <w:r w:rsidRPr="006E4775">
        <w:rPr>
          <w:rFonts w:ascii="Garamond" w:hAnsi="Garamond"/>
        </w:rPr>
        <w:t xml:space="preserve">Las causas de la migración boliviana a otros países se asientan en un contexto sociohistórico en el cual, según diferentes autores, se puede aseverar incluso que configura una cultura de la movilidad (Hinojosa, </w:t>
      </w:r>
      <w:r w:rsidRPr="006E4775">
        <w:rPr>
          <w:rFonts w:ascii="Garamond" w:hAnsi="Garamond"/>
        </w:rPr>
        <w:lastRenderedPageBreak/>
        <w:t xml:space="preserve">2004) o un habitus migratorio (Hinojosa, 2009). A la base de esta cultura o habitus se encontraría “una estrategia para hacer frente a la carestía de la vida y un modo de ampliar las fuentes de recursos económicos disponibles en las familias y las comunidades de origen” (Cortés, 2000 citado en Solé, Parella y </w:t>
      </w:r>
      <w:proofErr w:type="spellStart"/>
      <w:r w:rsidRPr="006E4775">
        <w:rPr>
          <w:rFonts w:ascii="Garamond" w:hAnsi="Garamond"/>
        </w:rPr>
        <w:t>Petroff</w:t>
      </w:r>
      <w:proofErr w:type="spellEnd"/>
      <w:r w:rsidRPr="006E4775">
        <w:rPr>
          <w:rFonts w:ascii="Garamond" w:hAnsi="Garamond"/>
        </w:rPr>
        <w:t xml:space="preserve">, 2010).  Así, durante el siglo XX y principios del siglo XXI, el proceso migratorio sigue un recorrido en el cual se pasa de lo rural a lo urbano, para rápidamente incorporarse a circuitos migratorios transnacionales (Hinojosa, 2006). </w:t>
      </w:r>
    </w:p>
    <w:p w14:paraId="2CE777EE" w14:textId="77777777" w:rsidR="00AA1CC6" w:rsidRPr="006E4775" w:rsidRDefault="00AA1CC6" w:rsidP="00AA1CC6">
      <w:pPr>
        <w:spacing w:line="276" w:lineRule="auto"/>
        <w:jc w:val="both"/>
        <w:rPr>
          <w:rFonts w:ascii="Garamond" w:hAnsi="Garamond"/>
        </w:rPr>
      </w:pPr>
      <w:r w:rsidRPr="006E4775">
        <w:rPr>
          <w:rFonts w:ascii="Garamond" w:hAnsi="Garamond"/>
        </w:rPr>
        <w:t xml:space="preserve">Los destinos de migración varían según la población se ve afectada por sucesos en la arena socioeconómica. Así, por ejemplo, la migración de principio de los 2000 hacia España crece sustantivamente debido a la desaceleración económica que afectó especialmente la actividad manufacturera y de construcción (Solé, Parella y </w:t>
      </w:r>
      <w:proofErr w:type="spellStart"/>
      <w:r w:rsidRPr="006E4775">
        <w:rPr>
          <w:rFonts w:ascii="Garamond" w:hAnsi="Garamond"/>
        </w:rPr>
        <w:t>Petroff</w:t>
      </w:r>
      <w:proofErr w:type="spellEnd"/>
      <w:r w:rsidRPr="006E4775">
        <w:rPr>
          <w:rFonts w:ascii="Garamond" w:hAnsi="Garamond"/>
        </w:rPr>
        <w:t>, 2010). Durante el 2007, esta migración se intensificó debido a la maduración de las redes migratorias de los 90, las expectativas laborales de las y los bolivianos y cambios en las reglas migratorias (</w:t>
      </w:r>
      <w:proofErr w:type="spellStart"/>
      <w:r w:rsidRPr="006E4775">
        <w:rPr>
          <w:rFonts w:ascii="Garamond" w:hAnsi="Garamond"/>
        </w:rPr>
        <w:t>Guaygua</w:t>
      </w:r>
      <w:proofErr w:type="spellEnd"/>
      <w:r w:rsidRPr="006E4775">
        <w:rPr>
          <w:rFonts w:ascii="Garamond" w:hAnsi="Garamond"/>
        </w:rPr>
        <w:t xml:space="preserve"> et al., 2010; Solé, Parella y </w:t>
      </w:r>
      <w:proofErr w:type="spellStart"/>
      <w:r w:rsidRPr="006E4775">
        <w:rPr>
          <w:rFonts w:ascii="Garamond" w:hAnsi="Garamond"/>
        </w:rPr>
        <w:t>Petroff</w:t>
      </w:r>
      <w:proofErr w:type="spellEnd"/>
      <w:r w:rsidRPr="006E4775">
        <w:rPr>
          <w:rFonts w:ascii="Garamond" w:hAnsi="Garamond"/>
        </w:rPr>
        <w:t>, 2010).</w:t>
      </w:r>
    </w:p>
    <w:p w14:paraId="46F0B26A" w14:textId="77777777" w:rsidR="00AA1CC6" w:rsidRPr="006E4775" w:rsidRDefault="00AA1CC6" w:rsidP="00AA1CC6">
      <w:pPr>
        <w:spacing w:line="276" w:lineRule="auto"/>
        <w:jc w:val="both"/>
        <w:rPr>
          <w:rFonts w:ascii="Garamond" w:hAnsi="Garamond"/>
        </w:rPr>
      </w:pPr>
      <w:r w:rsidRPr="006E4775">
        <w:rPr>
          <w:rFonts w:ascii="Garamond" w:hAnsi="Garamond"/>
        </w:rPr>
        <w:t xml:space="preserve">En el mismo estudio de Solé, Parella y </w:t>
      </w:r>
      <w:proofErr w:type="spellStart"/>
      <w:r w:rsidRPr="006E4775">
        <w:rPr>
          <w:rFonts w:ascii="Garamond" w:hAnsi="Garamond"/>
        </w:rPr>
        <w:t>Petroff</w:t>
      </w:r>
      <w:proofErr w:type="spellEnd"/>
      <w:r w:rsidRPr="006E4775">
        <w:rPr>
          <w:rFonts w:ascii="Garamond" w:hAnsi="Garamond"/>
        </w:rPr>
        <w:t xml:space="preserve"> (2010) se menciona que los motivos de migración boliviana apuntan a alcanzar el bienestar insatisfecho que no encuentran en su país, mejorar las condiciones de vida, acceder a bienes y servicios ausentes en el país de origen (Solé, Parella y </w:t>
      </w:r>
      <w:proofErr w:type="spellStart"/>
      <w:r w:rsidRPr="006E4775">
        <w:rPr>
          <w:rFonts w:ascii="Garamond" w:hAnsi="Garamond"/>
        </w:rPr>
        <w:t>Petroff</w:t>
      </w:r>
      <w:proofErr w:type="spellEnd"/>
      <w:r w:rsidRPr="006E4775">
        <w:rPr>
          <w:rFonts w:ascii="Garamond" w:hAnsi="Garamond"/>
        </w:rPr>
        <w:t>, 2010). En definitiva, la “opción de salida” (</w:t>
      </w:r>
      <w:proofErr w:type="spellStart"/>
      <w:r w:rsidRPr="006E4775">
        <w:rPr>
          <w:rFonts w:ascii="Garamond" w:hAnsi="Garamond"/>
        </w:rPr>
        <w:t>Hirschman</w:t>
      </w:r>
      <w:proofErr w:type="spellEnd"/>
      <w:r w:rsidRPr="006E4775">
        <w:rPr>
          <w:rFonts w:ascii="Garamond" w:hAnsi="Garamond"/>
        </w:rPr>
        <w:t>, 1997) se ha asociado a bajas expectativas laborales, así como “serios problemas económicos personales o familiares y un sentido de vulnerabilidad social y pérdida de certidumbre por mejorías en el corto plazo” (</w:t>
      </w:r>
      <w:proofErr w:type="spellStart"/>
      <w:r w:rsidRPr="006E4775">
        <w:rPr>
          <w:rFonts w:ascii="Garamond" w:hAnsi="Garamond"/>
        </w:rPr>
        <w:t>Hirschman</w:t>
      </w:r>
      <w:proofErr w:type="spellEnd"/>
      <w:r w:rsidRPr="006E4775">
        <w:rPr>
          <w:rFonts w:ascii="Garamond" w:hAnsi="Garamond"/>
        </w:rPr>
        <w:t xml:space="preserve">, 1997 citado en Solé, Parella y </w:t>
      </w:r>
      <w:proofErr w:type="spellStart"/>
      <w:r w:rsidRPr="006E4775">
        <w:rPr>
          <w:rFonts w:ascii="Garamond" w:hAnsi="Garamond"/>
        </w:rPr>
        <w:t>Petroff</w:t>
      </w:r>
      <w:proofErr w:type="spellEnd"/>
      <w:r w:rsidRPr="006E4775">
        <w:rPr>
          <w:rFonts w:ascii="Garamond" w:hAnsi="Garamond"/>
        </w:rPr>
        <w:t>, 2010).</w:t>
      </w:r>
    </w:p>
    <w:p w14:paraId="1AF954E4" w14:textId="77777777" w:rsidR="00AA1CC6" w:rsidRPr="006E4775" w:rsidRDefault="00AA1CC6" w:rsidP="004566A6">
      <w:pPr>
        <w:pStyle w:val="Ttulo3"/>
      </w:pPr>
      <w:bookmarkStart w:id="19" w:name="_Toc108799429"/>
      <w:r w:rsidRPr="006E4775">
        <w:t>Descripción sobre instituciones importantes</w:t>
      </w:r>
      <w:bookmarkEnd w:id="19"/>
    </w:p>
    <w:p w14:paraId="6A3A7422" w14:textId="77777777" w:rsidR="00AA1CC6" w:rsidRPr="006E4775" w:rsidRDefault="00AA1CC6" w:rsidP="004566A6">
      <w:pPr>
        <w:pStyle w:val="Ttulo4"/>
      </w:pPr>
      <w:r w:rsidRPr="006E4775">
        <w:t>Unidades administrativas</w:t>
      </w:r>
    </w:p>
    <w:p w14:paraId="5F863D3A" w14:textId="77777777" w:rsidR="00AA1CC6" w:rsidRPr="006E4775" w:rsidRDefault="00AA1CC6" w:rsidP="00AA1CC6">
      <w:pPr>
        <w:spacing w:line="276" w:lineRule="auto"/>
        <w:jc w:val="both"/>
        <w:rPr>
          <w:rFonts w:ascii="Garamond" w:hAnsi="Garamond"/>
        </w:rPr>
      </w:pPr>
      <w:r w:rsidRPr="006E4775">
        <w:rPr>
          <w:rFonts w:ascii="Garamond" w:hAnsi="Garamond"/>
        </w:rPr>
        <w:t xml:space="preserve">“El Estado Plurinacional de Bolivia está dividido actualmente en 9 departamentos (Beni, Cochabamba, Chuquisaca, La Paz, Oruro, Pando, Potosí, Tarija y Santa Cruz), 112 provincias, 327 secciones de provincias y 1.430 cantones.” (Embajada de Bolivia en Colombia, 19 de marzo del 2014) </w:t>
      </w:r>
    </w:p>
    <w:p w14:paraId="3BE7C418" w14:textId="77777777" w:rsidR="00AA1CC6" w:rsidRPr="006E4775" w:rsidRDefault="00AA1CC6" w:rsidP="004566A6">
      <w:pPr>
        <w:pStyle w:val="Ttulo4"/>
      </w:pPr>
      <w:r w:rsidRPr="006E4775">
        <w:t>Sistema de justicia juvenil</w:t>
      </w:r>
    </w:p>
    <w:p w14:paraId="455AA762" w14:textId="77777777" w:rsidR="00AA1CC6" w:rsidRPr="006E4775" w:rsidRDefault="00AA1CC6" w:rsidP="00AA1CC6">
      <w:pPr>
        <w:spacing w:line="276" w:lineRule="auto"/>
        <w:jc w:val="both"/>
        <w:rPr>
          <w:rFonts w:ascii="Garamond" w:hAnsi="Garamond"/>
        </w:rPr>
      </w:pPr>
      <w:r w:rsidRPr="006E4775">
        <w:rPr>
          <w:rFonts w:ascii="Garamond" w:hAnsi="Garamond"/>
        </w:rPr>
        <w:t>La ley que regula el sistema de justicia juvenil es el Código del Niño, Niña y Adolescente (Decreto Supremo 27443, 2004), el cual establece cuatro componentes de política pública: atención, protección, protección jurídica y prevención (Rivero, 2005). Lo que corresponde a la justicia juvenil es abordado por el componente de protección jurídica principalmente.</w:t>
      </w:r>
    </w:p>
    <w:p w14:paraId="41D42C33" w14:textId="77777777" w:rsidR="00AA1CC6" w:rsidRPr="006E4775" w:rsidRDefault="00AA1CC6" w:rsidP="00AA1CC6">
      <w:pPr>
        <w:spacing w:line="276" w:lineRule="auto"/>
        <w:jc w:val="both"/>
        <w:rPr>
          <w:rFonts w:ascii="Garamond" w:hAnsi="Garamond"/>
        </w:rPr>
      </w:pPr>
      <w:r w:rsidRPr="006E4775">
        <w:rPr>
          <w:rFonts w:ascii="Garamond" w:hAnsi="Garamond"/>
        </w:rPr>
        <w:t>El poder judicial es el principal implicado en la ejecución del sistema de justicia juvenil. Entre las instituciones que operan en este sistema son: la Instancia Jurisdiccional Nacional, compuesta por la Corte Suprema de Justicia; la Instancia Administrativa Nacional, compuesta por el Consejo de la Judicatura Instancia Jurisdiccional; la instancia Departamental, compuesta por la Corte de Distrito y los Operadores, compuesto por los Juzgados de Partido de la Niñez y Adolescencia (Rivero, 2005).</w:t>
      </w:r>
    </w:p>
    <w:p w14:paraId="03B072F4" w14:textId="77777777" w:rsidR="00AA1CC6" w:rsidRPr="006E4775" w:rsidRDefault="00AA1CC6" w:rsidP="00AA1CC6">
      <w:pPr>
        <w:spacing w:line="276" w:lineRule="auto"/>
        <w:jc w:val="both"/>
        <w:rPr>
          <w:rFonts w:ascii="Garamond" w:hAnsi="Garamond"/>
        </w:rPr>
      </w:pPr>
      <w:r w:rsidRPr="006E4775">
        <w:rPr>
          <w:rFonts w:ascii="Garamond" w:hAnsi="Garamond"/>
        </w:rPr>
        <w:t>Los 12 años se instauran como la edad penal mínima (UNICEF, 2016). El ámbito de aplicación de la ley sobre justicia juvenil comprende entre los doce y los dieciocho años (Ministerio de Comunicación, 2016).</w:t>
      </w:r>
    </w:p>
    <w:p w14:paraId="2336A6A0" w14:textId="77777777" w:rsidR="00AA1CC6" w:rsidRPr="006E4775" w:rsidRDefault="00AA1CC6" w:rsidP="004566A6">
      <w:pPr>
        <w:pStyle w:val="Ttulo3"/>
      </w:pPr>
      <w:bookmarkStart w:id="20" w:name="_Toc108799430"/>
      <w:r w:rsidRPr="006E4775">
        <w:t>Embajada y Consulados en Chile</w:t>
      </w:r>
      <w:bookmarkEnd w:id="20"/>
    </w:p>
    <w:p w14:paraId="02A31382" w14:textId="77777777" w:rsidR="00AA1CC6" w:rsidRPr="006E4775" w:rsidRDefault="00AA1CC6" w:rsidP="00AA1CC6">
      <w:pPr>
        <w:spacing w:line="276" w:lineRule="auto"/>
        <w:jc w:val="both"/>
        <w:rPr>
          <w:rFonts w:ascii="Garamond" w:hAnsi="Garamond"/>
        </w:rPr>
      </w:pPr>
      <w:r w:rsidRPr="006E4775">
        <w:rPr>
          <w:rFonts w:ascii="Garamond" w:hAnsi="Garamond"/>
        </w:rPr>
        <w:t>A la fecha (2022), existen consulados en al menos 4 regiones del país:</w:t>
      </w:r>
    </w:p>
    <w:p w14:paraId="45300B5D" w14:textId="77777777" w:rsidR="00AA1CC6" w:rsidRPr="006E4775" w:rsidRDefault="00AA1CC6" w:rsidP="00AA1CC6">
      <w:pPr>
        <w:spacing w:line="276" w:lineRule="auto"/>
        <w:jc w:val="both"/>
        <w:rPr>
          <w:rFonts w:ascii="Garamond" w:hAnsi="Garamond"/>
          <w:b/>
          <w:bCs/>
        </w:rPr>
      </w:pPr>
      <w:r w:rsidRPr="006E4775">
        <w:rPr>
          <w:rFonts w:ascii="Garamond" w:hAnsi="Garamond"/>
          <w:b/>
          <w:bCs/>
        </w:rPr>
        <w:lastRenderedPageBreak/>
        <w:t>Región Metropolitana:</w:t>
      </w:r>
    </w:p>
    <w:p w14:paraId="5F30BDE9" w14:textId="77777777" w:rsidR="00AA1CC6" w:rsidRPr="006E4775" w:rsidRDefault="00AA1CC6" w:rsidP="00AA1CC6">
      <w:pPr>
        <w:pStyle w:val="Prrafodelista"/>
        <w:numPr>
          <w:ilvl w:val="0"/>
          <w:numId w:val="9"/>
        </w:numPr>
        <w:spacing w:line="276" w:lineRule="auto"/>
        <w:jc w:val="both"/>
        <w:rPr>
          <w:rFonts w:ascii="Garamond" w:hAnsi="Garamond"/>
        </w:rPr>
      </w:pPr>
      <w:r w:rsidRPr="006E4775">
        <w:rPr>
          <w:rFonts w:ascii="Garamond" w:hAnsi="Garamond"/>
        </w:rPr>
        <w:t xml:space="preserve">Consulado General. Av. Santa María </w:t>
      </w:r>
      <w:proofErr w:type="spellStart"/>
      <w:r w:rsidRPr="006E4775">
        <w:rPr>
          <w:rFonts w:ascii="Garamond" w:hAnsi="Garamond"/>
        </w:rPr>
        <w:t>Nº</w:t>
      </w:r>
      <w:proofErr w:type="spellEnd"/>
      <w:r w:rsidRPr="006E4775">
        <w:rPr>
          <w:rFonts w:ascii="Garamond" w:hAnsi="Garamond"/>
        </w:rPr>
        <w:t xml:space="preserve"> 2796, Providencia, Santiago, Chile. Teléfonos: (56) 225201700 / 225201704 / 222328180. Correo: colivian-santiago@consuladodebolivia.cl</w:t>
      </w:r>
    </w:p>
    <w:p w14:paraId="6BF27D4B" w14:textId="77777777" w:rsidR="00AA1CC6" w:rsidRPr="006E4775" w:rsidRDefault="00AA1CC6" w:rsidP="00AA1CC6">
      <w:pPr>
        <w:spacing w:line="276" w:lineRule="auto"/>
        <w:jc w:val="both"/>
        <w:rPr>
          <w:rFonts w:ascii="Garamond" w:hAnsi="Garamond"/>
          <w:b/>
          <w:bCs/>
        </w:rPr>
      </w:pPr>
      <w:r w:rsidRPr="006E4775">
        <w:rPr>
          <w:rFonts w:ascii="Garamond" w:hAnsi="Garamond"/>
          <w:b/>
          <w:bCs/>
        </w:rPr>
        <w:t>Región de Antofagasta:</w:t>
      </w:r>
    </w:p>
    <w:p w14:paraId="50BD846E" w14:textId="77777777" w:rsidR="00AA1CC6" w:rsidRPr="006E4775" w:rsidRDefault="00AA1CC6" w:rsidP="00AA1CC6">
      <w:pPr>
        <w:pStyle w:val="Prrafodelista"/>
        <w:numPr>
          <w:ilvl w:val="0"/>
          <w:numId w:val="9"/>
        </w:numPr>
        <w:spacing w:line="276" w:lineRule="auto"/>
        <w:jc w:val="both"/>
        <w:rPr>
          <w:rFonts w:ascii="Garamond" w:hAnsi="Garamond"/>
        </w:rPr>
      </w:pPr>
      <w:r w:rsidRPr="006E4775">
        <w:rPr>
          <w:rFonts w:ascii="Garamond" w:hAnsi="Garamond"/>
        </w:rPr>
        <w:t xml:space="preserve">Consulado en Antofagasta:  Rebeca Matte 678, Antofagasta. Teléfono: (56) 55 292 87 59. Correo: </w:t>
      </w:r>
      <w:hyperlink r:id="rId27" w:history="1">
        <w:r w:rsidRPr="006E4775">
          <w:rPr>
            <w:rStyle w:val="Hipervnculo"/>
            <w:rFonts w:ascii="Garamond" w:hAnsi="Garamond"/>
          </w:rPr>
          <w:t>colivian.antofagasta@gmail.com</w:t>
        </w:r>
      </w:hyperlink>
      <w:r w:rsidRPr="006E4775">
        <w:rPr>
          <w:rFonts w:ascii="Garamond" w:hAnsi="Garamond"/>
        </w:rPr>
        <w:t>. Página web: http://www.consuladobolivia.cl/index.php?option=com_content&amp;view=article&amp;id=102&amp;Itemid=54</w:t>
      </w:r>
    </w:p>
    <w:p w14:paraId="118E563E" w14:textId="77777777" w:rsidR="00AA1CC6" w:rsidRPr="006E4775" w:rsidRDefault="00AA1CC6" w:rsidP="00AA1CC6">
      <w:pPr>
        <w:pStyle w:val="Prrafodelista"/>
        <w:numPr>
          <w:ilvl w:val="0"/>
          <w:numId w:val="9"/>
        </w:numPr>
        <w:spacing w:line="276" w:lineRule="auto"/>
        <w:jc w:val="both"/>
        <w:rPr>
          <w:rFonts w:ascii="Garamond" w:hAnsi="Garamond"/>
        </w:rPr>
      </w:pPr>
      <w:r w:rsidRPr="006E4775">
        <w:rPr>
          <w:rFonts w:ascii="Garamond" w:hAnsi="Garamond"/>
        </w:rPr>
        <w:t xml:space="preserve">Consulado en Calama: Av. Latorre 2611, planta baja, Calama. Teléfono: (56) 55 234 19 76. Correo: coliviancalama@yahoo.com </w:t>
      </w:r>
    </w:p>
    <w:p w14:paraId="1C8F39AE" w14:textId="77777777" w:rsidR="00AA1CC6" w:rsidRPr="006E4775" w:rsidRDefault="00AA1CC6" w:rsidP="00AA1CC6">
      <w:pPr>
        <w:spacing w:line="276" w:lineRule="auto"/>
        <w:jc w:val="both"/>
        <w:rPr>
          <w:rFonts w:ascii="Garamond" w:hAnsi="Garamond"/>
          <w:b/>
          <w:bCs/>
        </w:rPr>
      </w:pPr>
      <w:r w:rsidRPr="006E4775">
        <w:rPr>
          <w:rFonts w:ascii="Garamond" w:hAnsi="Garamond"/>
          <w:b/>
          <w:bCs/>
        </w:rPr>
        <w:t xml:space="preserve">Región de Arica y Parinacota: </w:t>
      </w:r>
    </w:p>
    <w:p w14:paraId="3DA481AE" w14:textId="77777777" w:rsidR="00AA1CC6" w:rsidRPr="006E4775" w:rsidRDefault="00AA1CC6" w:rsidP="00AA1CC6">
      <w:pPr>
        <w:pStyle w:val="Prrafodelista"/>
        <w:numPr>
          <w:ilvl w:val="0"/>
          <w:numId w:val="9"/>
        </w:numPr>
        <w:spacing w:line="276" w:lineRule="auto"/>
        <w:jc w:val="both"/>
        <w:rPr>
          <w:rFonts w:ascii="Garamond" w:hAnsi="Garamond"/>
        </w:rPr>
      </w:pPr>
      <w:r w:rsidRPr="006E4775">
        <w:rPr>
          <w:rFonts w:ascii="Garamond" w:hAnsi="Garamond"/>
        </w:rPr>
        <w:t>Consulado: Calle 7 de junio N° 176, oficina 402, Edificio LAN, Arica. Teléfonos: (56) 58 258 33 90 // (56) 58 258 33 92. Correo: consuladoboliviaarica@gmail.com</w:t>
      </w:r>
    </w:p>
    <w:p w14:paraId="6B0FD643" w14:textId="77777777" w:rsidR="00AA1CC6" w:rsidRPr="006E4775" w:rsidRDefault="00AA1CC6" w:rsidP="00AA1CC6">
      <w:pPr>
        <w:spacing w:line="276" w:lineRule="auto"/>
        <w:jc w:val="both"/>
        <w:rPr>
          <w:rFonts w:ascii="Garamond" w:hAnsi="Garamond"/>
          <w:b/>
          <w:bCs/>
        </w:rPr>
      </w:pPr>
      <w:r w:rsidRPr="006E4775">
        <w:rPr>
          <w:rFonts w:ascii="Garamond" w:hAnsi="Garamond"/>
          <w:b/>
          <w:bCs/>
        </w:rPr>
        <w:t xml:space="preserve">Región de Tarapacá: </w:t>
      </w:r>
    </w:p>
    <w:p w14:paraId="599BB150" w14:textId="77777777" w:rsidR="00AA1CC6" w:rsidRPr="006E4775" w:rsidRDefault="00AA1CC6" w:rsidP="00AA1CC6">
      <w:pPr>
        <w:pStyle w:val="Prrafodelista"/>
        <w:numPr>
          <w:ilvl w:val="0"/>
          <w:numId w:val="9"/>
        </w:numPr>
        <w:spacing w:line="276" w:lineRule="auto"/>
        <w:jc w:val="both"/>
        <w:rPr>
          <w:rFonts w:ascii="Garamond" w:hAnsi="Garamond"/>
        </w:rPr>
      </w:pPr>
      <w:r w:rsidRPr="006E4775">
        <w:rPr>
          <w:rFonts w:ascii="Garamond" w:hAnsi="Garamond"/>
        </w:rPr>
        <w:t xml:space="preserve">Consulado en Iquique: San Martín 220, entre calle Luis Uribe y Aníbal Pinto, Iquique. Teléfono: (56) 57 252 74 72. Correo: colivianiquique@gmail.com </w:t>
      </w:r>
    </w:p>
    <w:p w14:paraId="44EE3655" w14:textId="77777777" w:rsidR="00AA1CC6" w:rsidRPr="006E4775" w:rsidRDefault="00AA1CC6" w:rsidP="00AA1CC6">
      <w:pPr>
        <w:spacing w:line="276" w:lineRule="auto"/>
        <w:jc w:val="both"/>
        <w:rPr>
          <w:rFonts w:ascii="Garamond" w:hAnsi="Garamond"/>
        </w:rPr>
      </w:pPr>
    </w:p>
    <w:p w14:paraId="01A746C8" w14:textId="77777777" w:rsidR="00AA1CC6" w:rsidRPr="006E4775" w:rsidRDefault="00AA1CC6" w:rsidP="00AA1CC6">
      <w:pPr>
        <w:spacing w:line="276" w:lineRule="auto"/>
        <w:jc w:val="both"/>
        <w:rPr>
          <w:rFonts w:ascii="Garamond" w:hAnsi="Garamond"/>
          <w:b/>
        </w:rPr>
      </w:pPr>
      <w:r w:rsidRPr="006E4775">
        <w:rPr>
          <w:rFonts w:ascii="Garamond" w:hAnsi="Garamond"/>
        </w:rPr>
        <w:br w:type="page"/>
      </w:r>
    </w:p>
    <w:p w14:paraId="48080616" w14:textId="77777777" w:rsidR="00843D2E" w:rsidRPr="006E4775" w:rsidRDefault="00843D2E" w:rsidP="00843D2E">
      <w:pPr>
        <w:pStyle w:val="Ttulo2"/>
      </w:pPr>
      <w:bookmarkStart w:id="21" w:name="_Toc108799431"/>
      <w:r w:rsidRPr="006E4775">
        <w:lastRenderedPageBreak/>
        <w:t>República Bolivariana de Venezuela</w:t>
      </w:r>
      <w:bookmarkEnd w:id="21"/>
    </w:p>
    <w:p w14:paraId="76DE5254" w14:textId="77777777" w:rsidR="00843D2E" w:rsidRPr="006E4775" w:rsidRDefault="00843D2E" w:rsidP="006E4775">
      <w:pPr>
        <w:pStyle w:val="Ttulo3"/>
      </w:pPr>
      <w:r w:rsidRPr="006E4775">
        <w:rPr>
          <w:noProof/>
        </w:rPr>
        <w:drawing>
          <wp:anchor distT="0" distB="0" distL="114300" distR="114300" simplePos="0" relativeHeight="251682816" behindDoc="1" locked="0" layoutInCell="1" allowOverlap="1" wp14:anchorId="36CCC220" wp14:editId="684010C7">
            <wp:simplePos x="0" y="0"/>
            <wp:positionH relativeFrom="column">
              <wp:posOffset>2129155</wp:posOffset>
            </wp:positionH>
            <wp:positionV relativeFrom="paragraph">
              <wp:posOffset>86995</wp:posOffset>
            </wp:positionV>
            <wp:extent cx="4086225" cy="3423285"/>
            <wp:effectExtent l="0" t="0" r="9525" b="5715"/>
            <wp:wrapTight wrapText="bothSides">
              <wp:wrapPolygon edited="0">
                <wp:start x="0" y="0"/>
                <wp:lineTo x="0" y="21516"/>
                <wp:lineTo x="21550" y="21516"/>
                <wp:lineTo x="21550" y="0"/>
                <wp:lineTo x="0" y="0"/>
              </wp:wrapPolygon>
            </wp:wrapTight>
            <wp:docPr id="2" name="image3.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3.png" descr="Mapa&#10;&#10;Descripción generada automáticamente"/>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086225" cy="3423285"/>
                    </a:xfrm>
                    <a:prstGeom prst="rect">
                      <a:avLst/>
                    </a:prstGeom>
                    <a:ln/>
                  </pic:spPr>
                </pic:pic>
              </a:graphicData>
            </a:graphic>
            <wp14:sizeRelH relativeFrom="margin">
              <wp14:pctWidth>0</wp14:pctWidth>
            </wp14:sizeRelH>
          </wp:anchor>
        </w:drawing>
      </w:r>
      <w:r w:rsidRPr="006E4775">
        <w:t>Datos sociodemográficos</w:t>
      </w:r>
      <w:r w:rsidRPr="006E4775">
        <w:rPr>
          <w:noProof/>
        </w:rPr>
        <w:t xml:space="preserve"> </w:t>
      </w:r>
    </w:p>
    <w:p w14:paraId="4A0966A3" w14:textId="77777777"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Población</w:t>
      </w:r>
      <w:r w:rsidRPr="006E4775">
        <w:rPr>
          <w:rFonts w:ascii="Garamond" w:hAnsi="Garamond"/>
          <w:i/>
        </w:rPr>
        <w:t>:</w:t>
      </w:r>
      <w:r w:rsidRPr="006E4775">
        <w:rPr>
          <w:rFonts w:ascii="Garamond" w:hAnsi="Garamond"/>
        </w:rPr>
        <w:t xml:space="preserve"> 28.704.947 (Banco mundial, 2021)</w:t>
      </w:r>
    </w:p>
    <w:p w14:paraId="65B35A72" w14:textId="77777777"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Porcentaje de NNAJ</w:t>
      </w:r>
      <w:r w:rsidRPr="006E4775">
        <w:rPr>
          <w:rFonts w:ascii="Garamond" w:hAnsi="Garamond"/>
          <w:i/>
        </w:rPr>
        <w:t>:</w:t>
      </w:r>
      <w:r w:rsidRPr="006E4775">
        <w:rPr>
          <w:rFonts w:ascii="Garamond" w:hAnsi="Garamond"/>
        </w:rPr>
        <w:t xml:space="preserve"> En consideración a la población del 2021, se estima que el 35% de la población venezolana tiene entre 0 a 19 años (</w:t>
      </w:r>
      <w:proofErr w:type="spellStart"/>
      <w:r w:rsidRPr="006E4775">
        <w:rPr>
          <w:rFonts w:ascii="Garamond" w:hAnsi="Garamond"/>
        </w:rPr>
        <w:t>DatosMacro</w:t>
      </w:r>
      <w:proofErr w:type="spellEnd"/>
      <w:r w:rsidRPr="006E4775">
        <w:rPr>
          <w:rFonts w:ascii="Garamond" w:hAnsi="Garamond"/>
        </w:rPr>
        <w:t>, 2021).</w:t>
      </w:r>
    </w:p>
    <w:p w14:paraId="2CA1C273" w14:textId="77777777"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Idioma</w:t>
      </w:r>
      <w:r w:rsidRPr="006E4775">
        <w:rPr>
          <w:rFonts w:ascii="Garamond" w:hAnsi="Garamond"/>
          <w:i/>
        </w:rPr>
        <w:t xml:space="preserve">: </w:t>
      </w:r>
      <w:r w:rsidRPr="006E4775">
        <w:rPr>
          <w:rFonts w:ascii="Garamond" w:hAnsi="Garamond"/>
        </w:rPr>
        <w:t>El idioma oficial es el español-castellano, aunque en “los Estados Bolívar y Amazonas (cerca de la frontera con Brasil) también se hablan idiomas indígenas, como el yanomami, el pemón y el panare” (Ministerio de asuntos exteriores unión europea y cooperación, 2017, p. 1)</w:t>
      </w:r>
    </w:p>
    <w:p w14:paraId="54AD72FE" w14:textId="3B5B980F"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PIB</w:t>
      </w:r>
      <w:r w:rsidRPr="006E4775">
        <w:rPr>
          <w:rFonts w:ascii="Garamond" w:hAnsi="Garamond"/>
          <w:i/>
        </w:rPr>
        <w:t>:</w:t>
      </w:r>
      <w:r w:rsidRPr="006E4775">
        <w:rPr>
          <w:rFonts w:ascii="Garamond" w:hAnsi="Garamond"/>
        </w:rPr>
        <w:t xml:space="preserve"> </w:t>
      </w:r>
      <w:r w:rsidR="007F24B3">
        <w:rPr>
          <w:rFonts w:ascii="Garamond" w:hAnsi="Garamond"/>
        </w:rPr>
        <w:t>US$ 4</w:t>
      </w:r>
      <w:r w:rsidRPr="006E4775">
        <w:rPr>
          <w:rFonts w:ascii="Garamond" w:hAnsi="Garamond"/>
        </w:rPr>
        <w:t>82,36 miles de millones al 2021 (Banco Mundial, 2021)</w:t>
      </w:r>
      <w:r w:rsidR="00486B68">
        <w:rPr>
          <w:rStyle w:val="Refdenotaalpie"/>
          <w:rFonts w:ascii="Garamond" w:hAnsi="Garamond"/>
        </w:rPr>
        <w:footnoteReference w:id="15"/>
      </w:r>
      <w:r w:rsidR="00526758">
        <w:rPr>
          <w:rFonts w:ascii="Garamond" w:hAnsi="Garamond"/>
        </w:rPr>
        <w:t>.</w:t>
      </w:r>
    </w:p>
    <w:p w14:paraId="1D21637A" w14:textId="60088238"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PIB per cápita</w:t>
      </w:r>
      <w:r w:rsidR="007F24B3">
        <w:rPr>
          <w:rFonts w:ascii="Garamond" w:hAnsi="Garamond"/>
          <w:b/>
          <w:bCs/>
          <w:i/>
        </w:rPr>
        <w:t xml:space="preserve">: </w:t>
      </w:r>
      <w:r w:rsidR="007F24B3" w:rsidRPr="007F24B3">
        <w:rPr>
          <w:rFonts w:ascii="Garamond" w:hAnsi="Garamond"/>
          <w:iCs/>
        </w:rPr>
        <w:t>US$ 16.055,6 (Banco Mundial, 2021)</w:t>
      </w:r>
    </w:p>
    <w:p w14:paraId="24F1F3B2" w14:textId="13A24C47"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Nivel de pobreza</w:t>
      </w:r>
      <w:r w:rsidRPr="006E4775">
        <w:rPr>
          <w:rFonts w:ascii="Garamond" w:hAnsi="Garamond"/>
          <w:i/>
        </w:rPr>
        <w:t xml:space="preserve">: </w:t>
      </w:r>
      <w:r w:rsidRPr="006E4775">
        <w:rPr>
          <w:rFonts w:ascii="Garamond" w:hAnsi="Garamond"/>
        </w:rPr>
        <w:t>6,7 % (Banco Mundial, 2020)</w:t>
      </w:r>
    </w:p>
    <w:p w14:paraId="711ECC3A" w14:textId="77777777"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Índice de desarrollo humano</w:t>
      </w:r>
      <w:r w:rsidRPr="006E4775">
        <w:rPr>
          <w:rFonts w:ascii="Garamond" w:hAnsi="Garamond"/>
          <w:i/>
        </w:rPr>
        <w:t xml:space="preserve">: </w:t>
      </w:r>
      <w:r w:rsidRPr="006E4775">
        <w:rPr>
          <w:rFonts w:ascii="Garamond" w:hAnsi="Garamond"/>
        </w:rPr>
        <w:t>0,711 (PNUD, 2019)</w:t>
      </w:r>
    </w:p>
    <w:p w14:paraId="458DC1BC" w14:textId="77777777" w:rsidR="00843D2E" w:rsidRPr="006E4775" w:rsidRDefault="00843D2E" w:rsidP="00843D2E">
      <w:pPr>
        <w:pStyle w:val="Prrafodelista"/>
        <w:numPr>
          <w:ilvl w:val="0"/>
          <w:numId w:val="4"/>
        </w:numPr>
        <w:spacing w:line="276" w:lineRule="auto"/>
        <w:ind w:left="584" w:hanging="357"/>
        <w:jc w:val="both"/>
        <w:rPr>
          <w:rFonts w:ascii="Garamond" w:hAnsi="Garamond"/>
          <w:iCs/>
        </w:rPr>
      </w:pPr>
      <w:r w:rsidRPr="006E4775">
        <w:rPr>
          <w:rFonts w:ascii="Garamond" w:hAnsi="Garamond"/>
          <w:b/>
          <w:bCs/>
          <w:i/>
        </w:rPr>
        <w:t xml:space="preserve">Desempleo (% de población activa total): </w:t>
      </w:r>
      <w:r w:rsidRPr="006E4775">
        <w:rPr>
          <w:rFonts w:ascii="Garamond" w:hAnsi="Garamond"/>
          <w:iCs/>
        </w:rPr>
        <w:t>6,4% (Banco mundial, 2021)</w:t>
      </w:r>
    </w:p>
    <w:p w14:paraId="6A4E1C17" w14:textId="77777777"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Esperanza de vida al nacer:</w:t>
      </w:r>
      <w:r w:rsidRPr="006E4775">
        <w:rPr>
          <w:rFonts w:ascii="Garamond" w:hAnsi="Garamond"/>
        </w:rPr>
        <w:t xml:space="preserve"> 72 años (Banco Mundial, 2020)</w:t>
      </w:r>
    </w:p>
    <w:p w14:paraId="5198938B" w14:textId="77777777"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 xml:space="preserve">Tasa de homicidios intencionales (por cada 100.000 habitantes): </w:t>
      </w:r>
      <w:r w:rsidRPr="006E4775">
        <w:rPr>
          <w:rFonts w:ascii="Garamond" w:hAnsi="Garamond"/>
          <w:iCs/>
        </w:rPr>
        <w:t xml:space="preserve">50 </w:t>
      </w:r>
      <w:r w:rsidRPr="006E4775">
        <w:rPr>
          <w:rFonts w:ascii="Garamond" w:hAnsi="Garamond"/>
        </w:rPr>
        <w:t>(Banco Mundial, 2020)</w:t>
      </w:r>
    </w:p>
    <w:p w14:paraId="656118A1" w14:textId="5454FFA2" w:rsidR="00843D2E" w:rsidRPr="006E4775" w:rsidRDefault="00843D2E" w:rsidP="00843D2E">
      <w:pPr>
        <w:pStyle w:val="Prrafodelista"/>
        <w:numPr>
          <w:ilvl w:val="0"/>
          <w:numId w:val="4"/>
        </w:numPr>
        <w:spacing w:line="276" w:lineRule="auto"/>
        <w:ind w:left="584" w:hanging="357"/>
        <w:jc w:val="both"/>
        <w:rPr>
          <w:rFonts w:ascii="Garamond" w:hAnsi="Garamond"/>
        </w:rPr>
      </w:pPr>
      <w:r w:rsidRPr="006E4775">
        <w:rPr>
          <w:rFonts w:ascii="Garamond" w:hAnsi="Garamond"/>
          <w:b/>
          <w:bCs/>
          <w:i/>
        </w:rPr>
        <w:t>Migración</w:t>
      </w:r>
      <w:r w:rsidRPr="006E4775">
        <w:rPr>
          <w:rFonts w:ascii="Garamond" w:hAnsi="Garamond"/>
          <w:b/>
          <w:bCs/>
          <w:iCs/>
        </w:rPr>
        <w:t xml:space="preserve"> </w:t>
      </w:r>
      <w:r w:rsidRPr="006E4775">
        <w:rPr>
          <w:rFonts w:ascii="Garamond" w:hAnsi="Garamond"/>
          <w:b/>
          <w:bCs/>
          <w:i/>
          <w:iCs/>
        </w:rPr>
        <w:t>neta:</w:t>
      </w:r>
      <w:r w:rsidRPr="006E4775">
        <w:rPr>
          <w:rFonts w:ascii="Garamond" w:hAnsi="Garamond"/>
        </w:rPr>
        <w:t xml:space="preserve"> -3.266.243 (Banco Mundial, 2017).</w:t>
      </w:r>
    </w:p>
    <w:p w14:paraId="58FAD039" w14:textId="77777777" w:rsidR="00843D2E" w:rsidRPr="006E4775" w:rsidRDefault="00843D2E" w:rsidP="00843D2E">
      <w:pPr>
        <w:pStyle w:val="Ttulo3"/>
      </w:pPr>
      <w:bookmarkStart w:id="22" w:name="_Toc108799432"/>
      <w:r w:rsidRPr="006E4775">
        <w:t>Descripción fenómeno migratorio del país</w:t>
      </w:r>
      <w:bookmarkEnd w:id="22"/>
    </w:p>
    <w:p w14:paraId="2912FE97" w14:textId="77777777" w:rsidR="00843D2E" w:rsidRPr="006E4775" w:rsidRDefault="00843D2E" w:rsidP="00843D2E">
      <w:pPr>
        <w:spacing w:line="276" w:lineRule="auto"/>
        <w:jc w:val="both"/>
        <w:rPr>
          <w:rFonts w:ascii="Garamond" w:hAnsi="Garamond"/>
        </w:rPr>
      </w:pPr>
      <w:r w:rsidRPr="006E4775">
        <w:rPr>
          <w:rFonts w:ascii="Garamond" w:hAnsi="Garamond"/>
        </w:rPr>
        <w:t xml:space="preserve">Al 2020, se estima que 5.2 millones de personas venezolanas viven fuera de su país (OIM, 27 de agosto del 2020). Si se compara con la población residente para el mismo año, es decir, 28.435.943 de habitantes (Banco Mundial, 2021), la población que ha migrado desde Venezuela es aproximadamente un poco más del 18%. </w:t>
      </w:r>
    </w:p>
    <w:p w14:paraId="58BD9F33" w14:textId="77777777" w:rsidR="00843D2E" w:rsidRPr="006E4775" w:rsidRDefault="00843D2E" w:rsidP="00843D2E">
      <w:pPr>
        <w:spacing w:line="276" w:lineRule="auto"/>
        <w:jc w:val="both"/>
        <w:rPr>
          <w:rFonts w:ascii="Garamond" w:hAnsi="Garamond"/>
        </w:rPr>
      </w:pPr>
      <w:r w:rsidRPr="006E4775">
        <w:rPr>
          <w:rFonts w:ascii="Garamond" w:hAnsi="Garamond"/>
        </w:rPr>
        <w:t xml:space="preserve">Para el presente año, la cifra de personas refugiadas y emigrantes en el mundo asciende a 6.147.040 (R4V, 5 de mayo del 2022). Durante septiembre del 2020, se estimó que la cantidad de personas venezolanas </w:t>
      </w:r>
      <w:r w:rsidRPr="006E4775">
        <w:rPr>
          <w:rFonts w:ascii="Garamond" w:hAnsi="Garamond"/>
        </w:rPr>
        <w:lastRenderedPageBreak/>
        <w:t>que han emigrado a Chile es de 448,1 mil personas, es decir, 8.6% del total de personas emigrantes (R4V, 5 de mayo del 2022).</w:t>
      </w:r>
    </w:p>
    <w:p w14:paraId="7D915824"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 xml:space="preserve">La principal causa de migración venezolana tiene que ver con la crisis humanitaria nacional, la cual conjuga una serie de factores sociales, políticos y económicos que se arrastran desde el siglo pasado (Peñafiel, 2020; </w:t>
      </w:r>
      <w:proofErr w:type="spellStart"/>
      <w:r w:rsidRPr="006E4775">
        <w:rPr>
          <w:rFonts w:ascii="Garamond" w:hAnsi="Garamond"/>
          <w:color w:val="222222"/>
        </w:rPr>
        <w:t>Freitez</w:t>
      </w:r>
      <w:proofErr w:type="spellEnd"/>
      <w:r w:rsidRPr="006E4775">
        <w:rPr>
          <w:rFonts w:ascii="Garamond" w:hAnsi="Garamond"/>
          <w:color w:val="222222"/>
        </w:rPr>
        <w:t xml:space="preserve">, Viso y Osorio, 2021). A principios del siglo pasado, Venezuela fue un receptor de migración, principalmente europea (Peñafiel, 2020). Con la llegada de las olas dictatoriales en Latinoamérica, Venezuela se convirtió en un destino de llegada para muchos compatriotas de la región, principalmente por su estabilidad social y económica debido a la bonanza petrolera (Peñafiel, 2020). </w:t>
      </w:r>
    </w:p>
    <w:p w14:paraId="4BEF5D81"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 xml:space="preserve">No es hasta principios de los 80 cuando ocurre una crisis económica denominada “viernes negro”, resultado de los compromisos adquiridos durante el </w:t>
      </w:r>
      <w:r w:rsidRPr="006E4775">
        <w:rPr>
          <w:rFonts w:ascii="Garamond" w:hAnsi="Garamond"/>
          <w:i/>
          <w:iCs/>
          <w:color w:val="222222"/>
        </w:rPr>
        <w:t>peak</w:t>
      </w:r>
      <w:r w:rsidRPr="006E4775">
        <w:rPr>
          <w:rFonts w:ascii="Garamond" w:hAnsi="Garamond"/>
          <w:color w:val="222222"/>
        </w:rPr>
        <w:t xml:space="preserve"> de la bonanza petrolera (Peñafiel, 2020). Este evento marca el cambio en el patrón migratorio venezolano, en el cual se comienza a observar una creciente salida del país (</w:t>
      </w:r>
      <w:proofErr w:type="spellStart"/>
      <w:r w:rsidRPr="006E4775">
        <w:rPr>
          <w:rFonts w:ascii="Garamond" w:hAnsi="Garamond"/>
          <w:color w:val="222222"/>
        </w:rPr>
        <w:t>Argenti</w:t>
      </w:r>
      <w:proofErr w:type="spellEnd"/>
      <w:r w:rsidRPr="006E4775">
        <w:rPr>
          <w:rFonts w:ascii="Garamond" w:hAnsi="Garamond"/>
          <w:color w:val="222222"/>
        </w:rPr>
        <w:t xml:space="preserve"> y </w:t>
      </w:r>
      <w:proofErr w:type="spellStart"/>
      <w:r w:rsidRPr="006E4775">
        <w:rPr>
          <w:rFonts w:ascii="Garamond" w:hAnsi="Garamond"/>
          <w:color w:val="222222"/>
        </w:rPr>
        <w:t>Marocchino</w:t>
      </w:r>
      <w:proofErr w:type="spellEnd"/>
      <w:r w:rsidRPr="006E4775">
        <w:rPr>
          <w:rFonts w:ascii="Garamond" w:hAnsi="Garamond"/>
          <w:color w:val="222222"/>
        </w:rPr>
        <w:t xml:space="preserve">, 2007). Ya para comienzos de la década del 2000, se constata un considerable deterioro de la producción, de la calidad de los servicios públicos, los escándalos de corrupción, el aumento de la criminalidad y la crisis de gobernabilidad (Casas y Carter, 2017; Peñafiel, 2020). </w:t>
      </w:r>
    </w:p>
    <w:p w14:paraId="38E30497"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La llegada de los gobiernos de Chávez y posteriormente de Maduro profundizó la crisis vivida hasta entonces en el país por una política profundamente estatal y centralizada que, ya para el año 2010, exacerbó algunos problemas vividos anteriormente por la población venezolana, como lo son la recesión económica, el colapso de los servicios públicos, el aumento de la delincuencia y de la persecución estatal (Carter y Casas, 2017; Peñafiel, 2020).</w:t>
      </w:r>
    </w:p>
    <w:p w14:paraId="7833EFD1" w14:textId="6E6F79D7" w:rsidR="00843D2E" w:rsidRDefault="00843D2E" w:rsidP="00843D2E">
      <w:pPr>
        <w:spacing w:line="276" w:lineRule="auto"/>
        <w:jc w:val="both"/>
        <w:rPr>
          <w:rFonts w:ascii="Garamond" w:hAnsi="Garamond"/>
          <w:color w:val="222222"/>
        </w:rPr>
      </w:pPr>
      <w:r w:rsidRPr="006E4775">
        <w:rPr>
          <w:rFonts w:ascii="Garamond" w:hAnsi="Garamond"/>
          <w:color w:val="222222"/>
        </w:rPr>
        <w:t>En línea con lo recién mencionado, la migración venezolana se produce producto los problemas derivados de la crisis humanitaria en Venezuela, los cuales dicen relación con la “inseguridad, falta de vivienda, desempleo, informalidad en los sectores productivos, cierre de empresas, restricciones y clausura de medios de comunicación social” (Puerta, 2017 citado en Peñafiel, 2020, p. 8). Ante esto, las y los venezolanos optan por buscar fuera de su país mejores condiciones de vida y, aquellos que recientemente emigran, lo hacen con un especial interés de solventar sus necesidades humanas básicas (Peñafiel, 2020).</w:t>
      </w:r>
    </w:p>
    <w:p w14:paraId="7B841265" w14:textId="59E81D4B" w:rsidR="00843D2E" w:rsidRPr="006E4775" w:rsidRDefault="00843D2E" w:rsidP="00843D2E">
      <w:pPr>
        <w:pStyle w:val="Ttulo3"/>
      </w:pPr>
      <w:bookmarkStart w:id="23" w:name="_Toc108799433"/>
      <w:r w:rsidRPr="006E4775">
        <w:t>Descripción sobre instituciones importantes</w:t>
      </w:r>
      <w:bookmarkEnd w:id="23"/>
    </w:p>
    <w:p w14:paraId="14C29512" w14:textId="77777777" w:rsidR="00843D2E" w:rsidRPr="006E4775" w:rsidRDefault="00843D2E" w:rsidP="00843D2E">
      <w:pPr>
        <w:pStyle w:val="Ttulo4"/>
      </w:pPr>
      <w:r w:rsidRPr="006E4775">
        <w:t>Unidades administrativas</w:t>
      </w:r>
    </w:p>
    <w:p w14:paraId="07DD8811"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Es un país federal, el cual se divide en 23 Estados y un distrito federal. Cada Estado está compuesto por municipios, cuyo total es de 335 (Observatorio de Igualdad de Género de América Latina y el Caribe, s. f.). Finalmente, cada municipio está dividido en parroquias (Observatorio de Igualdad de Género de América Latina y el Caribe, s. f.).</w:t>
      </w:r>
    </w:p>
    <w:p w14:paraId="58B9B450"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En términos de sus atribuciones político-administrativas, se considera que los municipios son las unidades primarias de organización nacional, “gozan de personalidad jurídica plena y autonomía dentro de los límites de esta Constitución y de la ley” (Observatorio de Igualdad de Género de América Latina y el Caribe, s. f.).</w:t>
      </w:r>
    </w:p>
    <w:p w14:paraId="67474D7B" w14:textId="77777777" w:rsidR="00843D2E" w:rsidRPr="006E4775" w:rsidRDefault="00843D2E" w:rsidP="00843D2E">
      <w:pPr>
        <w:pStyle w:val="Ttulo4"/>
        <w:rPr>
          <w:color w:val="222222"/>
        </w:rPr>
      </w:pPr>
      <w:r w:rsidRPr="006E4775">
        <w:lastRenderedPageBreak/>
        <w:t>Sistema de justicia juvenil</w:t>
      </w:r>
    </w:p>
    <w:p w14:paraId="35746185"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 xml:space="preserve">Una cuestión interesante del sistema venezolano es que constitucionaliza la preferencia por la aplicación de medidas no privativas de libertad (Defensoría del Pueblo, 2016), como se consigna en el 272 y el 79 de la Constitución de la República Bolivariana de Venezuela [CRBV] (CRBV, 1999 citado en Defensoría del Pueblo, 2016). </w:t>
      </w:r>
    </w:p>
    <w:p w14:paraId="4CCDEC21"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 xml:space="preserve">Además de este reconocimiento constitucional, el sistema de justicia juvenil se estructura en base a la Ley Orgánica para la Protección de Niños, Niñas y Adolescentes (LOPNA, Ley 5859, 2015). Una de las principales diferencias respecto a cuerpos legislativos anteriores, es que la LOPNA pone especial énfasis en la Doctrina de la Protección Social y se aleja de la de Tutela de Menores (Ley 5859, 2015). </w:t>
      </w:r>
    </w:p>
    <w:p w14:paraId="12E88C67"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El Título V de la LOPNNA hace referencia a la responsabilidad penal adolescente. Se establecen los 15 años como la edad mínima penal y la justicia juvenil trabajaba con la persona hasta los 18 años cumplidos (Ley 5859, 2000; Fernández, 2017).</w:t>
      </w:r>
    </w:p>
    <w:p w14:paraId="7E5EF9CC"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 xml:space="preserve">Uno de los artículos a destacar es el 527 que establece que el sistema de justicia juvenil está compuesto por “la Sección de Adolescentes del Tribunal Penal, la Sala de Casación Penal del Tribunal Supremo de Justicia, El Ministerio Público, el Servicio Autónomo de la Defensa Pública, la Policía de investigación y los Programas y entidades de atención (Ley 5859, 2015). Otro artículo por destacar es el 518 sobre la Responsabilidad del adolescente, el cual refiere a que “[e]l o la adolescente que incurra en la comisión de hechos punibles responde por el hecho en la medida de su culpabilidad, de forma diferenciada del adulto. La diferencia consiste en la jurisdicción especializada y en la sanción que se le impone” (Ley 5859, 2015). En definitiva, el sistema de justicia juvenil está compuesto por diferentes actores del poder judicial y establece una justicia especializada para los jóvenes. </w:t>
      </w:r>
    </w:p>
    <w:p w14:paraId="1CA1F1A9" w14:textId="77777777" w:rsidR="00843D2E" w:rsidRPr="006E4775" w:rsidRDefault="00843D2E" w:rsidP="00843D2E">
      <w:pPr>
        <w:spacing w:line="276" w:lineRule="auto"/>
        <w:jc w:val="both"/>
        <w:rPr>
          <w:rFonts w:ascii="Garamond" w:hAnsi="Garamond"/>
          <w:color w:val="222222"/>
        </w:rPr>
      </w:pPr>
      <w:r w:rsidRPr="006E4775">
        <w:rPr>
          <w:rFonts w:ascii="Garamond" w:hAnsi="Garamond"/>
          <w:color w:val="222222"/>
        </w:rPr>
        <w:t xml:space="preserve">Finalmente, referido al tipo de penas establecidas por la Ley 5859 (2015), el sistema de justicia juvenil venezolano estipula en el artículo 620 cinco tipos de penas no privativas de libertad y una privativa de libertad (Ley 5859, 2015): Amonestación, Imposición de reglas de conducta, Servicios a la comunidad, Libertad asistida, </w:t>
      </w:r>
      <w:proofErr w:type="spellStart"/>
      <w:r w:rsidRPr="006E4775">
        <w:rPr>
          <w:rFonts w:ascii="Garamond" w:hAnsi="Garamond"/>
          <w:color w:val="222222"/>
        </w:rPr>
        <w:t>Semi-libertad</w:t>
      </w:r>
      <w:proofErr w:type="spellEnd"/>
      <w:r w:rsidRPr="006E4775">
        <w:rPr>
          <w:rFonts w:ascii="Garamond" w:hAnsi="Garamond"/>
          <w:color w:val="222222"/>
        </w:rPr>
        <w:t xml:space="preserve"> y Privación de libertad. Adicionalmente, el artículo siguiente, estipula que “las medidas señaladas en el Artículo anterior tienen una finalidad primordialmente educativa y se complementará, según el caso, con la participación de la familia y el apoyo de especialistas” (Ley 5859, 2015).</w:t>
      </w:r>
    </w:p>
    <w:p w14:paraId="0BC09F43" w14:textId="77777777" w:rsidR="00843D2E" w:rsidRPr="006E4775" w:rsidRDefault="00843D2E" w:rsidP="00221424">
      <w:pPr>
        <w:pStyle w:val="Ttulo3"/>
      </w:pPr>
      <w:bookmarkStart w:id="24" w:name="_Toc108799434"/>
      <w:r w:rsidRPr="006E4775">
        <w:t>Embajada y Consulados en Chile</w:t>
      </w:r>
      <w:bookmarkEnd w:id="24"/>
    </w:p>
    <w:p w14:paraId="77AA9006" w14:textId="77777777" w:rsidR="00843D2E" w:rsidRPr="006E4775" w:rsidRDefault="00843D2E" w:rsidP="00843D2E">
      <w:pPr>
        <w:spacing w:line="276" w:lineRule="auto"/>
        <w:jc w:val="both"/>
        <w:rPr>
          <w:rFonts w:ascii="Garamond" w:hAnsi="Garamond"/>
        </w:rPr>
      </w:pPr>
      <w:r w:rsidRPr="006E4775">
        <w:rPr>
          <w:rFonts w:ascii="Garamond" w:hAnsi="Garamond"/>
        </w:rPr>
        <w:t>A la fecha (2022), existe solo una embajada en la Región Metropolitana:</w:t>
      </w:r>
    </w:p>
    <w:p w14:paraId="65642958" w14:textId="77777777" w:rsidR="00843D2E" w:rsidRPr="006E4775" w:rsidRDefault="00843D2E" w:rsidP="00843D2E">
      <w:pPr>
        <w:spacing w:line="276" w:lineRule="auto"/>
        <w:jc w:val="both"/>
        <w:rPr>
          <w:rFonts w:ascii="Garamond" w:hAnsi="Garamond"/>
          <w:b/>
          <w:bCs/>
        </w:rPr>
      </w:pPr>
      <w:r w:rsidRPr="006E4775">
        <w:rPr>
          <w:rFonts w:ascii="Garamond" w:hAnsi="Garamond"/>
          <w:b/>
          <w:bCs/>
        </w:rPr>
        <w:t xml:space="preserve">Región Metropolitana: </w:t>
      </w:r>
    </w:p>
    <w:p w14:paraId="4E92F5DA" w14:textId="77777777" w:rsidR="00843D2E" w:rsidRPr="006E4775" w:rsidRDefault="00843D2E" w:rsidP="00843D2E">
      <w:pPr>
        <w:pStyle w:val="Prrafodelista"/>
        <w:numPr>
          <w:ilvl w:val="0"/>
          <w:numId w:val="9"/>
        </w:numPr>
        <w:spacing w:line="276" w:lineRule="auto"/>
        <w:jc w:val="both"/>
        <w:rPr>
          <w:rFonts w:ascii="Garamond" w:hAnsi="Garamond"/>
          <w:color w:val="222222"/>
        </w:rPr>
      </w:pPr>
      <w:r w:rsidRPr="006E4775">
        <w:rPr>
          <w:rFonts w:ascii="Garamond" w:hAnsi="Garamond"/>
          <w:color w:val="222222"/>
        </w:rPr>
        <w:t xml:space="preserve">Embajada: </w:t>
      </w:r>
      <w:r w:rsidRPr="006E4775">
        <w:rPr>
          <w:rFonts w:ascii="Garamond" w:hAnsi="Garamond"/>
        </w:rPr>
        <w:t xml:space="preserve">Bustos 2021, Providencia, Región Metropolitana. Teléfono: (56) 2 2 3658700. Correo: </w:t>
      </w:r>
      <w:hyperlink r:id="rId29">
        <w:r w:rsidRPr="006E4775">
          <w:rPr>
            <w:rFonts w:ascii="Garamond" w:hAnsi="Garamond"/>
            <w:color w:val="1155CC"/>
            <w:u w:val="single"/>
          </w:rPr>
          <w:t>consulares.chile@mppre.gob.ve</w:t>
        </w:r>
      </w:hyperlink>
    </w:p>
    <w:p w14:paraId="76EE80B6" w14:textId="77777777" w:rsidR="00843D2E" w:rsidRPr="006E4775" w:rsidRDefault="00843D2E" w:rsidP="00843D2E">
      <w:pPr>
        <w:spacing w:line="276" w:lineRule="auto"/>
        <w:jc w:val="both"/>
        <w:rPr>
          <w:rFonts w:ascii="Garamond" w:hAnsi="Garamond"/>
          <w:noProof/>
        </w:rPr>
      </w:pPr>
      <w:r w:rsidRPr="006E4775">
        <w:rPr>
          <w:rFonts w:ascii="Garamond" w:hAnsi="Garamond"/>
          <w:noProof/>
        </w:rPr>
        <w:br w:type="page"/>
      </w:r>
    </w:p>
    <w:p w14:paraId="718C727B" w14:textId="0E5183C1" w:rsidR="009C50EA" w:rsidRPr="006E4775" w:rsidRDefault="00E202AD" w:rsidP="00B83F0F">
      <w:pPr>
        <w:pStyle w:val="Ttulo2"/>
      </w:pPr>
      <w:bookmarkStart w:id="25" w:name="_Toc108799435"/>
      <w:r w:rsidRPr="006E4775">
        <w:lastRenderedPageBreak/>
        <w:t>República Dominicana</w:t>
      </w:r>
      <w:bookmarkEnd w:id="25"/>
    </w:p>
    <w:p w14:paraId="1335D422" w14:textId="68384E90" w:rsidR="003F5FD2" w:rsidRPr="006E4775" w:rsidRDefault="00463D89" w:rsidP="00BA2FE6">
      <w:pPr>
        <w:pStyle w:val="Ttulo4"/>
      </w:pPr>
      <w:r w:rsidRPr="006E4775">
        <w:rPr>
          <w:noProof/>
        </w:rPr>
        <w:drawing>
          <wp:anchor distT="114300" distB="114300" distL="114300" distR="114300" simplePos="0" relativeHeight="251664384" behindDoc="1" locked="0" layoutInCell="1" hidden="0" allowOverlap="1" wp14:anchorId="0FE94561" wp14:editId="127E9160">
            <wp:simplePos x="0" y="0"/>
            <wp:positionH relativeFrom="column">
              <wp:posOffset>2110740</wp:posOffset>
            </wp:positionH>
            <wp:positionV relativeFrom="paragraph">
              <wp:posOffset>43815</wp:posOffset>
            </wp:positionV>
            <wp:extent cx="4267200" cy="3000375"/>
            <wp:effectExtent l="0" t="0" r="0" b="9525"/>
            <wp:wrapTight wrapText="bothSides">
              <wp:wrapPolygon edited="0">
                <wp:start x="0" y="0"/>
                <wp:lineTo x="0" y="21531"/>
                <wp:lineTo x="21504" y="21531"/>
                <wp:lineTo x="21504" y="0"/>
                <wp:lineTo x="0" y="0"/>
              </wp:wrapPolygon>
            </wp:wrapTight>
            <wp:docPr id="3" name="image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2.png" descr="Mapa&#10;&#10;Descripción generada automáticamente"/>
                    <pic:cNvPicPr preferRelativeResize="0"/>
                  </pic:nvPicPr>
                  <pic:blipFill>
                    <a:blip r:embed="rId30"/>
                    <a:srcRect t="9247" r="1595" b="7656"/>
                    <a:stretch>
                      <a:fillRect/>
                    </a:stretch>
                  </pic:blipFill>
                  <pic:spPr>
                    <a:xfrm>
                      <a:off x="0" y="0"/>
                      <a:ext cx="4267200" cy="3000375"/>
                    </a:xfrm>
                    <a:prstGeom prst="rect">
                      <a:avLst/>
                    </a:prstGeom>
                    <a:ln/>
                  </pic:spPr>
                </pic:pic>
              </a:graphicData>
            </a:graphic>
            <wp14:sizeRelH relativeFrom="margin">
              <wp14:pctWidth>0</wp14:pctWidth>
            </wp14:sizeRelH>
            <wp14:sizeRelV relativeFrom="margin">
              <wp14:pctHeight>0</wp14:pctHeight>
            </wp14:sizeRelV>
          </wp:anchor>
        </w:drawing>
      </w:r>
      <w:r w:rsidR="003F5FD2" w:rsidRPr="006E4775">
        <w:t>Datos sociodemográficos</w:t>
      </w:r>
    </w:p>
    <w:p w14:paraId="496BA514" w14:textId="374CAF9F" w:rsidR="001148BD" w:rsidRPr="006E4775" w:rsidRDefault="001148BD" w:rsidP="00293B47">
      <w:pPr>
        <w:pStyle w:val="Prrafodelista"/>
        <w:numPr>
          <w:ilvl w:val="0"/>
          <w:numId w:val="5"/>
        </w:numPr>
        <w:spacing w:line="276" w:lineRule="auto"/>
        <w:jc w:val="both"/>
        <w:rPr>
          <w:rFonts w:ascii="Garamond" w:hAnsi="Garamond"/>
        </w:rPr>
      </w:pPr>
      <w:r w:rsidRPr="006E4775">
        <w:rPr>
          <w:rFonts w:ascii="Garamond" w:hAnsi="Garamond"/>
          <w:b/>
          <w:bCs/>
          <w:i/>
          <w:iCs/>
        </w:rPr>
        <w:t>Población</w:t>
      </w:r>
      <w:r w:rsidRPr="006E4775">
        <w:rPr>
          <w:rFonts w:ascii="Garamond" w:hAnsi="Garamond"/>
        </w:rPr>
        <w:t xml:space="preserve">: </w:t>
      </w:r>
      <w:r w:rsidR="00463D89" w:rsidRPr="006E4775">
        <w:rPr>
          <w:rFonts w:ascii="Garamond" w:hAnsi="Garamond"/>
        </w:rPr>
        <w:t xml:space="preserve">10.953.714 </w:t>
      </w:r>
      <w:r w:rsidRPr="006E4775">
        <w:rPr>
          <w:rFonts w:ascii="Garamond" w:hAnsi="Garamond"/>
        </w:rPr>
        <w:t>(Banco mundial, 2021).</w:t>
      </w:r>
    </w:p>
    <w:p w14:paraId="41A8C9E1" w14:textId="0740138E" w:rsidR="001148BD" w:rsidRPr="006E4775" w:rsidRDefault="001148BD" w:rsidP="00293B47">
      <w:pPr>
        <w:pStyle w:val="Prrafodelista"/>
        <w:numPr>
          <w:ilvl w:val="0"/>
          <w:numId w:val="5"/>
        </w:numPr>
        <w:spacing w:line="276" w:lineRule="auto"/>
        <w:jc w:val="both"/>
        <w:rPr>
          <w:rFonts w:ascii="Garamond" w:hAnsi="Garamond"/>
        </w:rPr>
      </w:pPr>
      <w:r w:rsidRPr="006E4775">
        <w:rPr>
          <w:rFonts w:ascii="Garamond" w:hAnsi="Garamond"/>
          <w:b/>
          <w:bCs/>
          <w:i/>
          <w:iCs/>
        </w:rPr>
        <w:t xml:space="preserve">Porcentaje de NNAJ: </w:t>
      </w:r>
      <w:r w:rsidRPr="006E4775">
        <w:rPr>
          <w:rFonts w:ascii="Garamond" w:hAnsi="Garamond"/>
        </w:rPr>
        <w:t xml:space="preserve">3.609.256 (ONE, 2021). En términos porcentuales, los niños, niñas y adolescentes de 5 a 17 años representaban el 26,5% de la población (SITEAL, 2019). </w:t>
      </w:r>
    </w:p>
    <w:p w14:paraId="03559FDF" w14:textId="0EEDE8FC" w:rsidR="001148BD" w:rsidRPr="006E4775" w:rsidRDefault="001148BD" w:rsidP="00293B47">
      <w:pPr>
        <w:pStyle w:val="Prrafodelista"/>
        <w:numPr>
          <w:ilvl w:val="0"/>
          <w:numId w:val="5"/>
        </w:numPr>
        <w:spacing w:line="276" w:lineRule="auto"/>
        <w:jc w:val="both"/>
        <w:rPr>
          <w:rFonts w:ascii="Garamond" w:hAnsi="Garamond"/>
        </w:rPr>
      </w:pPr>
      <w:r w:rsidRPr="006E4775">
        <w:rPr>
          <w:rFonts w:ascii="Garamond" w:hAnsi="Garamond"/>
          <w:b/>
          <w:bCs/>
          <w:i/>
          <w:iCs/>
        </w:rPr>
        <w:t>Idioma</w:t>
      </w:r>
      <w:r w:rsidRPr="006E4775">
        <w:rPr>
          <w:rFonts w:ascii="Garamond" w:hAnsi="Garamond"/>
        </w:rPr>
        <w:t xml:space="preserve">: </w:t>
      </w:r>
      <w:r w:rsidR="00473185" w:rsidRPr="006E4775">
        <w:rPr>
          <w:rFonts w:ascii="Garamond" w:hAnsi="Garamond"/>
        </w:rPr>
        <w:t>español</w:t>
      </w:r>
      <w:r w:rsidRPr="006E4775">
        <w:rPr>
          <w:rFonts w:ascii="Garamond" w:hAnsi="Garamond"/>
        </w:rPr>
        <w:t xml:space="preserve"> (Ley 5136, 1912)</w:t>
      </w:r>
    </w:p>
    <w:p w14:paraId="06E2ED68" w14:textId="64D3011F" w:rsidR="001148BD" w:rsidRPr="006E4775" w:rsidRDefault="001148BD" w:rsidP="00293B47">
      <w:pPr>
        <w:pStyle w:val="Prrafodelista"/>
        <w:numPr>
          <w:ilvl w:val="0"/>
          <w:numId w:val="5"/>
        </w:numPr>
        <w:spacing w:line="276" w:lineRule="auto"/>
        <w:jc w:val="both"/>
        <w:rPr>
          <w:rFonts w:ascii="Garamond" w:hAnsi="Garamond"/>
        </w:rPr>
      </w:pPr>
      <w:r w:rsidRPr="006E4775">
        <w:rPr>
          <w:rFonts w:ascii="Garamond" w:hAnsi="Garamond"/>
          <w:b/>
          <w:bCs/>
          <w:i/>
          <w:iCs/>
        </w:rPr>
        <w:t>PIB</w:t>
      </w:r>
      <w:r w:rsidRPr="006E4775">
        <w:rPr>
          <w:rFonts w:ascii="Garamond" w:hAnsi="Garamond"/>
        </w:rPr>
        <w:t xml:space="preserve">: </w:t>
      </w:r>
      <w:r w:rsidR="00463D89" w:rsidRPr="006E4775">
        <w:rPr>
          <w:rFonts w:ascii="Garamond" w:hAnsi="Garamond"/>
        </w:rPr>
        <w:t>US$ 94,2 mil</w:t>
      </w:r>
      <w:r w:rsidR="00905B9C" w:rsidRPr="006E4775">
        <w:rPr>
          <w:rFonts w:ascii="Garamond" w:hAnsi="Garamond"/>
        </w:rPr>
        <w:t>es de</w:t>
      </w:r>
      <w:r w:rsidR="00463D89" w:rsidRPr="006E4775">
        <w:rPr>
          <w:rFonts w:ascii="Garamond" w:hAnsi="Garamond"/>
        </w:rPr>
        <w:t xml:space="preserve"> millones</w:t>
      </w:r>
      <w:r w:rsidRPr="006E4775">
        <w:rPr>
          <w:rFonts w:ascii="Garamond" w:hAnsi="Garamond"/>
        </w:rPr>
        <w:t xml:space="preserve"> (Banco Mundial, 2021)</w:t>
      </w:r>
    </w:p>
    <w:p w14:paraId="0442CF00" w14:textId="54DCDAED" w:rsidR="00E67F59" w:rsidRPr="006E4775" w:rsidRDefault="00E67F59" w:rsidP="00293B47">
      <w:pPr>
        <w:pStyle w:val="Prrafodelista"/>
        <w:numPr>
          <w:ilvl w:val="0"/>
          <w:numId w:val="5"/>
        </w:numPr>
        <w:spacing w:line="276" w:lineRule="auto"/>
        <w:jc w:val="both"/>
        <w:rPr>
          <w:rFonts w:ascii="Garamond" w:hAnsi="Garamond"/>
        </w:rPr>
      </w:pPr>
      <w:r w:rsidRPr="006E4775">
        <w:rPr>
          <w:rFonts w:ascii="Garamond" w:hAnsi="Garamond"/>
          <w:b/>
          <w:bCs/>
          <w:i/>
        </w:rPr>
        <w:t>PIB per cápita</w:t>
      </w:r>
      <w:r w:rsidR="007F24B3">
        <w:rPr>
          <w:rFonts w:ascii="Garamond" w:hAnsi="Garamond"/>
          <w:b/>
          <w:bCs/>
          <w:i/>
        </w:rPr>
        <w:t xml:space="preserve">: </w:t>
      </w:r>
      <w:r w:rsidR="007F24B3" w:rsidRPr="007F24B3">
        <w:rPr>
          <w:rFonts w:ascii="Garamond" w:hAnsi="Garamond"/>
          <w:iCs/>
        </w:rPr>
        <w:t xml:space="preserve">US$ 8.603,8 (Banco Mundial) </w:t>
      </w:r>
    </w:p>
    <w:p w14:paraId="4ABA5585" w14:textId="7EC87FF0" w:rsidR="001148BD" w:rsidRPr="006E4775" w:rsidRDefault="001148BD" w:rsidP="00293B47">
      <w:pPr>
        <w:pStyle w:val="Prrafodelista"/>
        <w:numPr>
          <w:ilvl w:val="0"/>
          <w:numId w:val="5"/>
        </w:numPr>
        <w:spacing w:line="276" w:lineRule="auto"/>
        <w:jc w:val="both"/>
        <w:rPr>
          <w:rFonts w:ascii="Garamond" w:hAnsi="Garamond"/>
        </w:rPr>
      </w:pPr>
      <w:r w:rsidRPr="006E4775">
        <w:rPr>
          <w:rFonts w:ascii="Garamond" w:hAnsi="Garamond"/>
          <w:b/>
          <w:bCs/>
          <w:i/>
          <w:iCs/>
        </w:rPr>
        <w:t>Nivel de pobreza</w:t>
      </w:r>
      <w:r w:rsidR="00463D89" w:rsidRPr="006E4775">
        <w:rPr>
          <w:rFonts w:ascii="Garamond" w:hAnsi="Garamond"/>
        </w:rPr>
        <w:t xml:space="preserve">: </w:t>
      </w:r>
      <w:r w:rsidR="00F62FE0" w:rsidRPr="006E4775">
        <w:rPr>
          <w:rFonts w:ascii="Garamond" w:hAnsi="Garamond"/>
        </w:rPr>
        <w:t>0.8</w:t>
      </w:r>
      <w:r w:rsidR="00463D89" w:rsidRPr="006E4775">
        <w:rPr>
          <w:rFonts w:ascii="Garamond" w:hAnsi="Garamond"/>
        </w:rPr>
        <w:t xml:space="preserve">% </w:t>
      </w:r>
      <w:r w:rsidRPr="006E4775">
        <w:rPr>
          <w:rFonts w:ascii="Garamond" w:hAnsi="Garamond"/>
        </w:rPr>
        <w:t>(Banco Mundial, 2020)</w:t>
      </w:r>
    </w:p>
    <w:p w14:paraId="696FA5A2" w14:textId="0438F135" w:rsidR="001148BD" w:rsidRPr="006E4775" w:rsidRDefault="001148BD" w:rsidP="00293B47">
      <w:pPr>
        <w:pStyle w:val="Prrafodelista"/>
        <w:numPr>
          <w:ilvl w:val="0"/>
          <w:numId w:val="5"/>
        </w:numPr>
        <w:spacing w:line="276" w:lineRule="auto"/>
        <w:jc w:val="both"/>
        <w:rPr>
          <w:rFonts w:ascii="Garamond" w:hAnsi="Garamond"/>
        </w:rPr>
      </w:pPr>
      <w:r w:rsidRPr="006E4775">
        <w:rPr>
          <w:rFonts w:ascii="Garamond" w:hAnsi="Garamond"/>
          <w:b/>
          <w:bCs/>
          <w:i/>
          <w:iCs/>
        </w:rPr>
        <w:t>Índice de desarrollo humano</w:t>
      </w:r>
      <w:r w:rsidR="00463D89" w:rsidRPr="006E4775">
        <w:rPr>
          <w:rFonts w:ascii="Garamond" w:hAnsi="Garamond"/>
          <w:b/>
          <w:bCs/>
          <w:i/>
          <w:iCs/>
        </w:rPr>
        <w:t xml:space="preserve">: </w:t>
      </w:r>
      <w:r w:rsidRPr="006E4775">
        <w:rPr>
          <w:rFonts w:ascii="Garamond" w:hAnsi="Garamond"/>
        </w:rPr>
        <w:t>0,756 (PNUD, 2019)</w:t>
      </w:r>
    </w:p>
    <w:p w14:paraId="42A7CCC6" w14:textId="3E29245D" w:rsidR="008977AC" w:rsidRPr="006E4775" w:rsidRDefault="008977AC" w:rsidP="00293B47">
      <w:pPr>
        <w:pStyle w:val="Prrafodelista"/>
        <w:numPr>
          <w:ilvl w:val="0"/>
          <w:numId w:val="5"/>
        </w:numPr>
        <w:spacing w:line="276" w:lineRule="auto"/>
        <w:jc w:val="both"/>
        <w:rPr>
          <w:rFonts w:ascii="Garamond" w:hAnsi="Garamond"/>
          <w:iCs/>
        </w:rPr>
      </w:pPr>
      <w:r w:rsidRPr="006E4775">
        <w:rPr>
          <w:rFonts w:ascii="Garamond" w:hAnsi="Garamond"/>
          <w:b/>
          <w:bCs/>
          <w:i/>
        </w:rPr>
        <w:t xml:space="preserve">Desempleo (% de población activa total): </w:t>
      </w:r>
      <w:r w:rsidR="00E67F59" w:rsidRPr="006E4775">
        <w:rPr>
          <w:rFonts w:ascii="Garamond" w:hAnsi="Garamond"/>
          <w:iCs/>
        </w:rPr>
        <w:t>8,5%</w:t>
      </w:r>
      <w:r w:rsidR="00E67F59" w:rsidRPr="006E4775">
        <w:rPr>
          <w:rFonts w:ascii="Garamond" w:hAnsi="Garamond"/>
          <w:b/>
          <w:bCs/>
          <w:i/>
        </w:rPr>
        <w:t xml:space="preserve"> </w:t>
      </w:r>
      <w:r w:rsidRPr="006E4775">
        <w:rPr>
          <w:rFonts w:ascii="Garamond" w:hAnsi="Garamond"/>
          <w:iCs/>
        </w:rPr>
        <w:t>(Banco mundial, 2021)</w:t>
      </w:r>
    </w:p>
    <w:p w14:paraId="74B3F2D9" w14:textId="77777777" w:rsidR="00473185" w:rsidRPr="006E4775" w:rsidRDefault="00000000" w:rsidP="00293B47">
      <w:pPr>
        <w:pStyle w:val="Prrafodelista"/>
        <w:numPr>
          <w:ilvl w:val="0"/>
          <w:numId w:val="5"/>
        </w:numPr>
        <w:spacing w:line="276" w:lineRule="auto"/>
        <w:jc w:val="both"/>
        <w:rPr>
          <w:rFonts w:ascii="Garamond" w:hAnsi="Garamond"/>
        </w:rPr>
      </w:pPr>
      <w:hyperlink r:id="rId31" w:history="1">
        <w:r w:rsidR="00473185" w:rsidRPr="006E4775">
          <w:rPr>
            <w:rFonts w:ascii="Garamond" w:hAnsi="Garamond"/>
            <w:b/>
            <w:bCs/>
            <w:i/>
            <w:iCs/>
          </w:rPr>
          <w:t>Esperanza de vida al nacer</w:t>
        </w:r>
      </w:hyperlink>
      <w:r w:rsidR="00473185" w:rsidRPr="006E4775">
        <w:rPr>
          <w:rFonts w:ascii="Garamond" w:hAnsi="Garamond"/>
        </w:rPr>
        <w:t>: 74 años (Banco mundial, 2021).</w:t>
      </w:r>
    </w:p>
    <w:p w14:paraId="2159EEA1" w14:textId="2B0BE619" w:rsidR="00463D89" w:rsidRPr="006E4775" w:rsidRDefault="0007256D" w:rsidP="00293B47">
      <w:pPr>
        <w:pStyle w:val="Prrafodelista"/>
        <w:numPr>
          <w:ilvl w:val="0"/>
          <w:numId w:val="5"/>
        </w:numPr>
        <w:spacing w:line="276" w:lineRule="auto"/>
        <w:jc w:val="both"/>
        <w:rPr>
          <w:rFonts w:ascii="Garamond" w:hAnsi="Garamond"/>
        </w:rPr>
      </w:pPr>
      <w:r w:rsidRPr="006E4775">
        <w:rPr>
          <w:rFonts w:ascii="Garamond" w:hAnsi="Garamond"/>
          <w:b/>
          <w:bCs/>
          <w:i/>
          <w:iCs/>
        </w:rPr>
        <w:t xml:space="preserve">Tasa de </w:t>
      </w:r>
      <w:hyperlink r:id="rId32" w:history="1">
        <w:r w:rsidRPr="006E4775">
          <w:rPr>
            <w:rFonts w:ascii="Garamond" w:hAnsi="Garamond"/>
            <w:b/>
            <w:bCs/>
            <w:i/>
            <w:iCs/>
          </w:rPr>
          <w:t>h</w:t>
        </w:r>
        <w:r w:rsidR="00463D89" w:rsidRPr="006E4775">
          <w:rPr>
            <w:rFonts w:ascii="Garamond" w:hAnsi="Garamond"/>
            <w:b/>
            <w:bCs/>
            <w:i/>
            <w:iCs/>
          </w:rPr>
          <w:t>omicidios intencionales (por cada 100.000 habitantes)</w:t>
        </w:r>
      </w:hyperlink>
      <w:r w:rsidR="00463D89" w:rsidRPr="006E4775">
        <w:rPr>
          <w:rFonts w:ascii="Garamond" w:hAnsi="Garamond"/>
          <w:b/>
          <w:bCs/>
          <w:i/>
          <w:iCs/>
        </w:rPr>
        <w:t xml:space="preserve">: </w:t>
      </w:r>
      <w:r w:rsidR="00463D89" w:rsidRPr="006E4775">
        <w:rPr>
          <w:rFonts w:ascii="Garamond" w:hAnsi="Garamond"/>
        </w:rPr>
        <w:t xml:space="preserve">9 </w:t>
      </w:r>
      <w:r w:rsidR="00B10425" w:rsidRPr="006E4775">
        <w:rPr>
          <w:rFonts w:ascii="Garamond" w:hAnsi="Garamond"/>
        </w:rPr>
        <w:t>(B</w:t>
      </w:r>
      <w:r w:rsidR="00463D89" w:rsidRPr="006E4775">
        <w:rPr>
          <w:rFonts w:ascii="Garamond" w:hAnsi="Garamond"/>
        </w:rPr>
        <w:t>anco Mundial, 2020)</w:t>
      </w:r>
    </w:p>
    <w:p w14:paraId="455DC4C4" w14:textId="6CE12986" w:rsidR="00463D89" w:rsidRPr="006E4775" w:rsidRDefault="00E213C4" w:rsidP="00293B47">
      <w:pPr>
        <w:pStyle w:val="Prrafodelista"/>
        <w:numPr>
          <w:ilvl w:val="0"/>
          <w:numId w:val="5"/>
        </w:numPr>
        <w:spacing w:line="276" w:lineRule="auto"/>
        <w:jc w:val="both"/>
        <w:rPr>
          <w:rFonts w:ascii="Garamond" w:hAnsi="Garamond"/>
        </w:rPr>
      </w:pPr>
      <w:r w:rsidRPr="006E4775">
        <w:rPr>
          <w:rFonts w:ascii="Garamond" w:hAnsi="Garamond"/>
          <w:b/>
          <w:bCs/>
          <w:i/>
          <w:iCs/>
        </w:rPr>
        <w:t>Migración neta:</w:t>
      </w:r>
      <w:r w:rsidR="00463D89" w:rsidRPr="006E4775">
        <w:rPr>
          <w:rFonts w:ascii="Garamond" w:hAnsi="Garamond"/>
        </w:rPr>
        <w:t xml:space="preserve"> - 150.000 (Banco Mundial, 2017). </w:t>
      </w:r>
    </w:p>
    <w:p w14:paraId="17B79EB8" w14:textId="7CC2F337" w:rsidR="00463D89" w:rsidRPr="006E4775" w:rsidRDefault="00463D89" w:rsidP="00BA2FE6">
      <w:pPr>
        <w:pStyle w:val="Ttulo3"/>
      </w:pPr>
      <w:bookmarkStart w:id="26" w:name="_Toc108799436"/>
      <w:r w:rsidRPr="006E4775">
        <w:t xml:space="preserve">Descripción fenómeno migratorio </w:t>
      </w:r>
      <w:r w:rsidR="007C5732" w:rsidRPr="006E4775">
        <w:t>del país</w:t>
      </w:r>
      <w:bookmarkEnd w:id="26"/>
    </w:p>
    <w:p w14:paraId="3AF15B14" w14:textId="6AB42F10" w:rsidR="00463D89" w:rsidRPr="006E4775" w:rsidRDefault="00463D89" w:rsidP="00293B47">
      <w:pPr>
        <w:spacing w:line="276" w:lineRule="auto"/>
        <w:jc w:val="both"/>
        <w:rPr>
          <w:rFonts w:ascii="Garamond" w:hAnsi="Garamond"/>
        </w:rPr>
      </w:pPr>
      <w:r w:rsidRPr="006E4775">
        <w:rPr>
          <w:rFonts w:ascii="Garamond" w:hAnsi="Garamond"/>
        </w:rPr>
        <w:t>República Dominicana se caracteriza por ser un país con patrones de emigración e inmigración intensas durante las últimas décadas, aun cuando la emigración sea más alta que la de inmigración (OIM, 2017). Por el lado de la emigración, se estima que para el 2015 el 12% de la población dominicana reside en el exterior (OCDE/CIES-UNIBE, 2017). Por otra parte, por el lado de la inmigración, se estima que para el 2017 un 5.6% de la población de República Dominicana son migrantes (Observatorio de políticas sociales y desarrollo, 2019). De este mismo 5.6% de población migrante, el 87.3% es de origen haitiano</w:t>
      </w:r>
      <w:r w:rsidR="002C5E88" w:rsidRPr="006E4775">
        <w:rPr>
          <w:rFonts w:ascii="Garamond" w:hAnsi="Garamond"/>
        </w:rPr>
        <w:t xml:space="preserve"> (su país vecino)</w:t>
      </w:r>
      <w:r w:rsidRPr="006E4775">
        <w:rPr>
          <w:rFonts w:ascii="Garamond" w:hAnsi="Garamond"/>
        </w:rPr>
        <w:t>. Existen autores que mencionan que, posterior al terremoto del 2010 en Haití, ha existido “una mayor participación de mujeres y niños entre los flujos de personas procedentes de Haití que llegaron entre 2010 y 2012” (Estudios Complementarios ENI, 2014, p. 24)</w:t>
      </w:r>
    </w:p>
    <w:p w14:paraId="3DED3164" w14:textId="7F3C5553" w:rsidR="00463D89" w:rsidRPr="006E4775" w:rsidRDefault="00463D89" w:rsidP="00293B47">
      <w:pPr>
        <w:spacing w:line="276" w:lineRule="auto"/>
        <w:jc w:val="both"/>
        <w:rPr>
          <w:rFonts w:ascii="Garamond" w:hAnsi="Garamond"/>
        </w:rPr>
      </w:pPr>
      <w:r w:rsidRPr="006E4775">
        <w:rPr>
          <w:rFonts w:ascii="Garamond" w:hAnsi="Garamond"/>
        </w:rPr>
        <w:t xml:space="preserve">A partir de la muerte del dictador Rafael Trujillo el 30 de mayo de 1961, comienza un relativamente estable patrón de emigración por motivos socioeconómicos y/o laborales (OIM, 2017; OCDE/CIES-UNIBE, 2017), y que concentra como principal destino a Estados Unidos (OIM, 2017; OCDE/CIES-UNIBE, 2017; Observatorio de políticas sociales y desarrollo, 2019). La estabilización en un nivel alto de la emigración, asimismo, se produce como consecuencia de diferentes factores de empuje, las diferencias salariales y la desigualdad socioeconómica (OCDE/CIES-UNIBE, 2017). Adicionalmente, existen factores de atracción como “las redes sociales transnacionales existentes entre los emigrantes y el país de </w:t>
      </w:r>
      <w:r w:rsidRPr="006E4775">
        <w:rPr>
          <w:rFonts w:ascii="Garamond" w:hAnsi="Garamond"/>
        </w:rPr>
        <w:lastRenderedPageBreak/>
        <w:t xml:space="preserve">origen que facilitan la emigración” (OCDE/CIES-UNIBE, 2017, p. 43). Esto, similar al caso peruano, se observa en el flujo de remesas recibidas, las cuales concentraron prácticamente </w:t>
      </w:r>
      <w:r w:rsidR="0052445E" w:rsidRPr="006E4775">
        <w:rPr>
          <w:rFonts w:ascii="Garamond" w:hAnsi="Garamond"/>
        </w:rPr>
        <w:t>el</w:t>
      </w:r>
      <w:r w:rsidRPr="006E4775">
        <w:rPr>
          <w:rFonts w:ascii="Garamond" w:hAnsi="Garamond"/>
        </w:rPr>
        <w:t xml:space="preserve"> 5% del PIB del país durante el 2015 (OIM, 2017)</w:t>
      </w:r>
      <w:r w:rsidR="008A52FA" w:rsidRPr="006E4775">
        <w:rPr>
          <w:rFonts w:ascii="Garamond" w:hAnsi="Garamond"/>
        </w:rPr>
        <w:t>.</w:t>
      </w:r>
    </w:p>
    <w:p w14:paraId="282C5B8C" w14:textId="77777777" w:rsidR="0052445E" w:rsidRPr="006E4775" w:rsidRDefault="00463D89" w:rsidP="00BA2FE6">
      <w:pPr>
        <w:pStyle w:val="Ttulo3"/>
      </w:pPr>
      <w:bookmarkStart w:id="27" w:name="_Toc108799437"/>
      <w:r w:rsidRPr="006E4775">
        <w:t>Descripción sobre instituciones importantes</w:t>
      </w:r>
      <w:bookmarkEnd w:id="27"/>
    </w:p>
    <w:p w14:paraId="7B676CF2" w14:textId="77777777" w:rsidR="0052445E" w:rsidRPr="006E4775" w:rsidRDefault="0052445E" w:rsidP="00BA2FE6">
      <w:pPr>
        <w:pStyle w:val="Ttulo4"/>
      </w:pPr>
      <w:r w:rsidRPr="006E4775">
        <w:t>Unidades administrativas</w:t>
      </w:r>
    </w:p>
    <w:p w14:paraId="4F8C9096" w14:textId="4EFEA6E6" w:rsidR="00463D89" w:rsidRPr="006E4775" w:rsidRDefault="00463D89" w:rsidP="00293B47">
      <w:pPr>
        <w:spacing w:line="276" w:lineRule="auto"/>
        <w:jc w:val="both"/>
        <w:rPr>
          <w:rFonts w:ascii="Garamond" w:hAnsi="Garamond"/>
        </w:rPr>
      </w:pPr>
      <w:r w:rsidRPr="006E4775">
        <w:rPr>
          <w:rFonts w:ascii="Garamond" w:hAnsi="Garamond"/>
        </w:rPr>
        <w:t xml:space="preserve">El país se divide en un distrito nacional con 31 provincias (ONE, 2020. Las provincias están </w:t>
      </w:r>
      <w:r w:rsidR="00822B16" w:rsidRPr="006E4775">
        <w:rPr>
          <w:rFonts w:ascii="Garamond" w:hAnsi="Garamond"/>
        </w:rPr>
        <w:t>constituidas</w:t>
      </w:r>
      <w:r w:rsidRPr="006E4775">
        <w:rPr>
          <w:rFonts w:ascii="Garamond" w:hAnsi="Garamond"/>
        </w:rPr>
        <w:t xml:space="preserve"> por municipios, los cuales en total se elevan al número de 157 (ONE, 2020. Asimismo, los municipios están conformados por tres unidades más: distritos municipales (235), secciones rurales (1.212) y parajes (10.056) (ONE, 2020).</w:t>
      </w:r>
    </w:p>
    <w:p w14:paraId="2A90BE85" w14:textId="0B6CA618" w:rsidR="0052445E" w:rsidRPr="006E4775" w:rsidRDefault="0052445E" w:rsidP="00BA2FE6">
      <w:pPr>
        <w:pStyle w:val="Ttulo4"/>
      </w:pPr>
      <w:r w:rsidRPr="006E4775">
        <w:t>S</w:t>
      </w:r>
      <w:r w:rsidR="00463D89" w:rsidRPr="006E4775">
        <w:t>istema de justicia juvenil</w:t>
      </w:r>
    </w:p>
    <w:p w14:paraId="5F95D3C0" w14:textId="313B0C05" w:rsidR="00463D89" w:rsidRPr="006E4775" w:rsidRDefault="00463D89" w:rsidP="00293B47">
      <w:pPr>
        <w:spacing w:line="276" w:lineRule="auto"/>
        <w:jc w:val="both"/>
        <w:rPr>
          <w:rFonts w:ascii="Garamond" w:hAnsi="Garamond"/>
        </w:rPr>
      </w:pPr>
      <w:r w:rsidRPr="006E4775">
        <w:rPr>
          <w:rFonts w:ascii="Garamond" w:hAnsi="Garamond"/>
        </w:rPr>
        <w:t>La ley que regula el funcionamiento de la justicia juvenil dominicana es la Ley 136-03, también conocida como el Código para el Sistema de Protección y Derechos Fundamentales de Niños, Niñas y Adolescentes (Ley 136-03, 7 de agosto del 2003). Este código tiene como objetivo final el reconocimiento, protección y restitución de los derechos de NNAJ (</w:t>
      </w:r>
      <w:r w:rsidR="008A25E6" w:rsidRPr="006E4775">
        <w:rPr>
          <w:rFonts w:ascii="Garamond" w:hAnsi="Garamond"/>
        </w:rPr>
        <w:t>Núñez</w:t>
      </w:r>
      <w:r w:rsidRPr="006E4775">
        <w:rPr>
          <w:rFonts w:ascii="Garamond" w:hAnsi="Garamond"/>
        </w:rPr>
        <w:t xml:space="preserve"> y Pichardo, 2016). </w:t>
      </w:r>
    </w:p>
    <w:p w14:paraId="11E95128" w14:textId="77777777" w:rsidR="00463D89" w:rsidRPr="006E4775" w:rsidRDefault="00463D89" w:rsidP="00293B47">
      <w:pPr>
        <w:spacing w:line="276" w:lineRule="auto"/>
        <w:jc w:val="both"/>
        <w:rPr>
          <w:rFonts w:ascii="Garamond" w:hAnsi="Garamond"/>
        </w:rPr>
      </w:pPr>
      <w:r w:rsidRPr="006E4775">
        <w:rPr>
          <w:rFonts w:ascii="Garamond" w:hAnsi="Garamond"/>
        </w:rPr>
        <w:t xml:space="preserve">En lo respectivo a lo penal, existen dos rangos etarios en la justicia juvenil dominicana (Ley 136-03, 7 de agosto del 2003). Por una parte, los jóvenes entre 13 y 15 años. Por otra parte, los jóvenes de 16 hasta los 18 años (Ley 136-03, 7 de agosto del 2003). </w:t>
      </w:r>
    </w:p>
    <w:p w14:paraId="798BC703" w14:textId="00D8E1BA" w:rsidR="00463D89" w:rsidRPr="006E4775" w:rsidRDefault="00463D89" w:rsidP="00293B47">
      <w:pPr>
        <w:spacing w:line="276" w:lineRule="auto"/>
        <w:jc w:val="both"/>
        <w:rPr>
          <w:rFonts w:ascii="Garamond" w:hAnsi="Garamond"/>
        </w:rPr>
      </w:pPr>
      <w:r w:rsidRPr="006E4775">
        <w:rPr>
          <w:rFonts w:ascii="Garamond" w:hAnsi="Garamond"/>
        </w:rPr>
        <w:t>Adicionalmente, se consigna que es el poder judicial el responsable de la ejecución del sistema de justicia juvenil (</w:t>
      </w:r>
      <w:r w:rsidR="008A25E6" w:rsidRPr="006E4775">
        <w:rPr>
          <w:rFonts w:ascii="Garamond" w:hAnsi="Garamond"/>
        </w:rPr>
        <w:t>Núñez</w:t>
      </w:r>
      <w:r w:rsidRPr="006E4775">
        <w:rPr>
          <w:rFonts w:ascii="Garamond" w:hAnsi="Garamond"/>
        </w:rPr>
        <w:t xml:space="preserve"> y Pichardo, 2016). Este sistema está compuesto por Tribunales de primera instancia, Cortes de Apelaciones, Suprema Corte de Justicia y Tribunales de ejecución de la sanción (</w:t>
      </w:r>
      <w:r w:rsidR="008A25E6" w:rsidRPr="006E4775">
        <w:rPr>
          <w:rFonts w:ascii="Garamond" w:hAnsi="Garamond"/>
        </w:rPr>
        <w:t>Núñez</w:t>
      </w:r>
      <w:r w:rsidRPr="006E4775">
        <w:rPr>
          <w:rFonts w:ascii="Garamond" w:hAnsi="Garamond"/>
        </w:rPr>
        <w:t xml:space="preserve"> y Pichardo, 2016). </w:t>
      </w:r>
    </w:p>
    <w:p w14:paraId="08245015" w14:textId="4E2289C3" w:rsidR="00463D89" w:rsidRPr="006E4775" w:rsidRDefault="00463D89" w:rsidP="00293B47">
      <w:pPr>
        <w:spacing w:line="276" w:lineRule="auto"/>
        <w:jc w:val="both"/>
        <w:rPr>
          <w:rFonts w:ascii="Garamond" w:hAnsi="Garamond"/>
        </w:rPr>
      </w:pPr>
      <w:r w:rsidRPr="006E4775">
        <w:rPr>
          <w:rFonts w:ascii="Garamond" w:hAnsi="Garamond"/>
        </w:rPr>
        <w:t xml:space="preserve">El proceso penal consta de tres partes: medidas cautelares, investigación y juicio de </w:t>
      </w:r>
      <w:r w:rsidR="008A25E6" w:rsidRPr="006E4775">
        <w:rPr>
          <w:rFonts w:ascii="Garamond" w:hAnsi="Garamond"/>
        </w:rPr>
        <w:t>fondo (</w:t>
      </w:r>
      <w:r w:rsidRPr="006E4775">
        <w:rPr>
          <w:rFonts w:ascii="Garamond" w:hAnsi="Garamond"/>
        </w:rPr>
        <w:t>N</w:t>
      </w:r>
      <w:r w:rsidR="008A25E6" w:rsidRPr="006E4775">
        <w:rPr>
          <w:rFonts w:ascii="Garamond" w:hAnsi="Garamond"/>
        </w:rPr>
        <w:t>ú</w:t>
      </w:r>
      <w:r w:rsidRPr="006E4775">
        <w:rPr>
          <w:rFonts w:ascii="Garamond" w:hAnsi="Garamond"/>
        </w:rPr>
        <w:t>ñez y Pichardo, 2016). Finalmente, existen tres tipos de sanciones penales aplicables: las socioeducativas, las órdenes de orientación y supervisión y las sanciones privativas de libertad (</w:t>
      </w:r>
      <w:r w:rsidR="008A25E6" w:rsidRPr="006E4775">
        <w:rPr>
          <w:rFonts w:ascii="Garamond" w:hAnsi="Garamond"/>
        </w:rPr>
        <w:t>Núñez</w:t>
      </w:r>
      <w:r w:rsidRPr="006E4775">
        <w:rPr>
          <w:rFonts w:ascii="Garamond" w:hAnsi="Garamond"/>
        </w:rPr>
        <w:t xml:space="preserve"> y Pichardo, 2016)</w:t>
      </w:r>
    </w:p>
    <w:p w14:paraId="68CCD837" w14:textId="430B34BE" w:rsidR="008A25E6" w:rsidRPr="006E4775" w:rsidRDefault="008A25E6" w:rsidP="0033728D">
      <w:pPr>
        <w:pStyle w:val="Ttulo3"/>
      </w:pPr>
      <w:bookmarkStart w:id="28" w:name="_Toc108799438"/>
      <w:r w:rsidRPr="006E4775">
        <w:t>Embajada y Consulados en Chile</w:t>
      </w:r>
      <w:bookmarkEnd w:id="28"/>
    </w:p>
    <w:p w14:paraId="27BC3B97" w14:textId="30CB884D" w:rsidR="00463D89" w:rsidRPr="006E4775" w:rsidRDefault="00C87E33" w:rsidP="00293B47">
      <w:pPr>
        <w:spacing w:line="276" w:lineRule="auto"/>
        <w:jc w:val="both"/>
        <w:rPr>
          <w:rFonts w:ascii="Garamond" w:hAnsi="Garamond"/>
        </w:rPr>
      </w:pPr>
      <w:r w:rsidRPr="006E4775">
        <w:rPr>
          <w:rFonts w:ascii="Garamond" w:hAnsi="Garamond"/>
        </w:rPr>
        <w:t>A la fecha (2022)</w:t>
      </w:r>
      <w:r w:rsidR="008A25E6" w:rsidRPr="006E4775">
        <w:rPr>
          <w:rFonts w:ascii="Garamond" w:hAnsi="Garamond"/>
        </w:rPr>
        <w:t>, solo existe un</w:t>
      </w:r>
      <w:r w:rsidR="00A34735" w:rsidRPr="006E4775">
        <w:rPr>
          <w:rFonts w:ascii="Garamond" w:hAnsi="Garamond"/>
        </w:rPr>
        <w:t>a embajada y</w:t>
      </w:r>
      <w:r w:rsidR="008A25E6" w:rsidRPr="006E4775">
        <w:rPr>
          <w:rFonts w:ascii="Garamond" w:hAnsi="Garamond"/>
        </w:rPr>
        <w:t xml:space="preserve"> consulado en Chile de este país, en la Región Metropolitana</w:t>
      </w:r>
      <w:r w:rsidR="005A4B8C" w:rsidRPr="006E4775">
        <w:rPr>
          <w:rFonts w:ascii="Garamond" w:hAnsi="Garamond"/>
        </w:rPr>
        <w:t>, que se encuentran en el mismo edificio:</w:t>
      </w:r>
    </w:p>
    <w:p w14:paraId="185D8E38" w14:textId="0FBD6DB4" w:rsidR="00FA158E" w:rsidRPr="006E4775" w:rsidRDefault="00FA158E" w:rsidP="00293B47">
      <w:pPr>
        <w:spacing w:line="276" w:lineRule="auto"/>
        <w:jc w:val="both"/>
        <w:rPr>
          <w:rFonts w:ascii="Garamond" w:hAnsi="Garamond"/>
          <w:b/>
          <w:bCs/>
        </w:rPr>
      </w:pPr>
      <w:r w:rsidRPr="006E4775">
        <w:rPr>
          <w:rFonts w:ascii="Garamond" w:hAnsi="Garamond"/>
          <w:b/>
          <w:bCs/>
        </w:rPr>
        <w:t>Región Metropolitana</w:t>
      </w:r>
    </w:p>
    <w:p w14:paraId="64E13C63" w14:textId="0F79F796" w:rsidR="00FA158E" w:rsidRPr="006E4775" w:rsidRDefault="00FA158E" w:rsidP="00293B47">
      <w:pPr>
        <w:pStyle w:val="Prrafodelista"/>
        <w:numPr>
          <w:ilvl w:val="0"/>
          <w:numId w:val="7"/>
        </w:numPr>
        <w:spacing w:line="276" w:lineRule="auto"/>
        <w:jc w:val="both"/>
        <w:rPr>
          <w:rFonts w:ascii="Garamond" w:hAnsi="Garamond"/>
        </w:rPr>
      </w:pPr>
      <w:r w:rsidRPr="006E4775">
        <w:rPr>
          <w:rFonts w:ascii="Garamond" w:hAnsi="Garamond"/>
        </w:rPr>
        <w:t>Embajada: Candelaria Goyenechea 4153, Vitacura, 7630204, Región Metropolitana. Teléfono:  +56 229535750. Página web: https://www.embajadadominicana.cl/.</w:t>
      </w:r>
    </w:p>
    <w:p w14:paraId="167A3498" w14:textId="4F840B18" w:rsidR="00463D89" w:rsidRPr="006E4775" w:rsidRDefault="00FA158E" w:rsidP="00293B47">
      <w:pPr>
        <w:pStyle w:val="Prrafodelista"/>
        <w:numPr>
          <w:ilvl w:val="0"/>
          <w:numId w:val="7"/>
        </w:numPr>
        <w:spacing w:line="276" w:lineRule="auto"/>
        <w:jc w:val="both"/>
        <w:rPr>
          <w:rFonts w:ascii="Garamond" w:hAnsi="Garamond"/>
        </w:rPr>
      </w:pPr>
      <w:r w:rsidRPr="006E4775">
        <w:rPr>
          <w:rFonts w:ascii="Garamond" w:hAnsi="Garamond"/>
        </w:rPr>
        <w:t xml:space="preserve">Consulado: Candelaria Goyenechea 4153, Vitacura, 7630204, Región Metropolitana. Teléfono: </w:t>
      </w:r>
      <w:r w:rsidR="00463D89" w:rsidRPr="006E4775">
        <w:rPr>
          <w:rFonts w:ascii="Garamond" w:hAnsi="Garamond"/>
        </w:rPr>
        <w:t xml:space="preserve"> +56 229535752</w:t>
      </w:r>
      <w:r w:rsidR="00A34735" w:rsidRPr="006E4775">
        <w:rPr>
          <w:rFonts w:ascii="Garamond" w:hAnsi="Garamond"/>
        </w:rPr>
        <w:t>. C</w:t>
      </w:r>
      <w:r w:rsidR="00463D89" w:rsidRPr="006E4775">
        <w:rPr>
          <w:rFonts w:ascii="Garamond" w:hAnsi="Garamond"/>
        </w:rPr>
        <w:t xml:space="preserve">orreo: </w:t>
      </w:r>
      <w:hyperlink r:id="rId33" w:history="1">
        <w:r w:rsidR="00822B16" w:rsidRPr="006E4775">
          <w:rPr>
            <w:rStyle w:val="Hipervnculo"/>
            <w:rFonts w:ascii="Garamond" w:hAnsi="Garamond"/>
          </w:rPr>
          <w:t>consularchile@mirex.gob.do</w:t>
        </w:r>
      </w:hyperlink>
    </w:p>
    <w:p w14:paraId="35FD3FEB" w14:textId="77777777" w:rsidR="009143A1" w:rsidRPr="006E4775" w:rsidRDefault="009143A1" w:rsidP="00293B47">
      <w:pPr>
        <w:spacing w:line="276" w:lineRule="auto"/>
        <w:jc w:val="both"/>
        <w:rPr>
          <w:rFonts w:ascii="Garamond" w:hAnsi="Garamond"/>
        </w:rPr>
      </w:pPr>
    </w:p>
    <w:p w14:paraId="478374BF" w14:textId="77777777" w:rsidR="009143A1" w:rsidRPr="006E4775" w:rsidRDefault="009143A1" w:rsidP="00293B47">
      <w:pPr>
        <w:spacing w:line="276" w:lineRule="auto"/>
        <w:jc w:val="both"/>
        <w:rPr>
          <w:rFonts w:ascii="Garamond" w:hAnsi="Garamond"/>
        </w:rPr>
      </w:pPr>
    </w:p>
    <w:p w14:paraId="0000008E" w14:textId="77777777" w:rsidR="009C50EA" w:rsidRPr="006E4775" w:rsidRDefault="009C50EA" w:rsidP="00293B47">
      <w:pPr>
        <w:spacing w:line="276" w:lineRule="auto"/>
        <w:jc w:val="both"/>
        <w:rPr>
          <w:rFonts w:ascii="Garamond" w:hAnsi="Garamond"/>
        </w:rPr>
      </w:pPr>
    </w:p>
    <w:p w14:paraId="00000123" w14:textId="0EBA759A" w:rsidR="009C50EA" w:rsidRPr="006E4775" w:rsidRDefault="000C3FFE" w:rsidP="0033728D">
      <w:pPr>
        <w:pStyle w:val="Ttulo2"/>
      </w:pPr>
      <w:bookmarkStart w:id="29" w:name="_Toc108799439"/>
      <w:r w:rsidRPr="006E4775">
        <w:lastRenderedPageBreak/>
        <w:t>República de Haití (</w:t>
      </w:r>
      <w:proofErr w:type="spellStart"/>
      <w:r w:rsidRPr="006E4775">
        <w:t>Repiblik</w:t>
      </w:r>
      <w:proofErr w:type="spellEnd"/>
      <w:r w:rsidRPr="006E4775">
        <w:t xml:space="preserve"> </w:t>
      </w:r>
      <w:proofErr w:type="spellStart"/>
      <w:r w:rsidRPr="006E4775">
        <w:t>d'Ayiti</w:t>
      </w:r>
      <w:proofErr w:type="spellEnd"/>
      <w:r w:rsidRPr="006E4775">
        <w:rPr>
          <w:rStyle w:val="Refdenotaalpie"/>
          <w:rFonts w:ascii="Garamond" w:hAnsi="Garamond"/>
          <w:i/>
          <w:iCs/>
          <w:sz w:val="22"/>
          <w:szCs w:val="22"/>
        </w:rPr>
        <w:footnoteReference w:id="16"/>
      </w:r>
      <w:r w:rsidRPr="006E4775">
        <w:t xml:space="preserve">, </w:t>
      </w:r>
      <w:proofErr w:type="spellStart"/>
      <w:r w:rsidRPr="006E4775">
        <w:t>République</w:t>
      </w:r>
      <w:proofErr w:type="spellEnd"/>
      <w:r w:rsidRPr="006E4775">
        <w:t xml:space="preserve"> </w:t>
      </w:r>
      <w:proofErr w:type="spellStart"/>
      <w:r w:rsidRPr="006E4775">
        <w:t>d'Haïti</w:t>
      </w:r>
      <w:proofErr w:type="spellEnd"/>
      <w:r w:rsidRPr="006E4775">
        <w:rPr>
          <w:rStyle w:val="Refdenotaalpie"/>
          <w:rFonts w:ascii="Garamond" w:hAnsi="Garamond"/>
          <w:i/>
          <w:iCs/>
          <w:sz w:val="22"/>
          <w:szCs w:val="22"/>
        </w:rPr>
        <w:footnoteReference w:id="17"/>
      </w:r>
      <w:r w:rsidRPr="006E4775">
        <w:t>)</w:t>
      </w:r>
      <w:bookmarkEnd w:id="29"/>
    </w:p>
    <w:p w14:paraId="36FC3B4C" w14:textId="2B40D30F" w:rsidR="009A42EB" w:rsidRPr="006E4775" w:rsidRDefault="009A42EB" w:rsidP="00293B47">
      <w:pPr>
        <w:spacing w:line="276" w:lineRule="auto"/>
        <w:jc w:val="both"/>
        <w:rPr>
          <w:rFonts w:ascii="Garamond" w:hAnsi="Garamond"/>
          <w:b/>
        </w:rPr>
      </w:pPr>
      <w:r w:rsidRPr="006E4775">
        <w:rPr>
          <w:rFonts w:ascii="Garamond" w:hAnsi="Garamond"/>
        </w:rPr>
        <w:t>Antes de pasar a describir datos de este país</w:t>
      </w:r>
      <w:r w:rsidR="0033728D" w:rsidRPr="006E4775">
        <w:rPr>
          <w:rFonts w:ascii="Garamond" w:hAnsi="Garamond"/>
        </w:rPr>
        <w:t xml:space="preserve">, como ya fue señalado, </w:t>
      </w:r>
      <w:r w:rsidRPr="006E4775">
        <w:rPr>
          <w:rFonts w:ascii="Garamond" w:hAnsi="Garamond"/>
        </w:rPr>
        <w:t>a la fecha (2022), no existe población haitiana en la red de Justicia Juvenil. Sin embargo, se integran datos de esta nación debido a que corresponden un alto porcentaje de la población migrante en el país</w:t>
      </w:r>
      <w:r w:rsidR="00DD6B58" w:rsidRPr="006E4775">
        <w:rPr>
          <w:rFonts w:ascii="Garamond" w:hAnsi="Garamond"/>
        </w:rPr>
        <w:t>, siendo la tercera fuerza migratoria de la actualidad (INE, 202)</w:t>
      </w:r>
      <w:r w:rsidRPr="006E4775">
        <w:rPr>
          <w:rFonts w:ascii="Garamond" w:hAnsi="Garamond"/>
        </w:rPr>
        <w:t>, y considerando que puede implicar un mayor desafío para la intervención intercultural con personas provenientes de Haití, sobre todo desde una perspectiva crítica, considerando la diferencia de idioma</w:t>
      </w:r>
      <w:r w:rsidR="00DD6B58" w:rsidRPr="006E4775">
        <w:rPr>
          <w:rFonts w:ascii="Garamond" w:hAnsi="Garamond"/>
        </w:rPr>
        <w:t xml:space="preserve">, su cultura, la ausencia de redes (OIM, 2017), y </w:t>
      </w:r>
      <w:r w:rsidRPr="006E4775">
        <w:rPr>
          <w:rFonts w:ascii="Garamond" w:hAnsi="Garamond"/>
        </w:rPr>
        <w:t>su afro descendencia</w:t>
      </w:r>
      <w:r w:rsidR="00500ED2" w:rsidRPr="006E4775">
        <w:rPr>
          <w:rFonts w:ascii="Garamond" w:hAnsi="Garamond"/>
        </w:rPr>
        <w:t>, lo cual puede ser fuente de discriminaciones</w:t>
      </w:r>
      <w:r w:rsidR="00DD6B58" w:rsidRPr="006E4775">
        <w:rPr>
          <w:rFonts w:ascii="Garamond" w:hAnsi="Garamond"/>
        </w:rPr>
        <w:t>. P</w:t>
      </w:r>
      <w:r w:rsidRPr="006E4775">
        <w:rPr>
          <w:rFonts w:ascii="Garamond" w:hAnsi="Garamond"/>
        </w:rPr>
        <w:t>or ello, en caso de que ingrese alguien de proveniente de dicha zona, se recomienda conocer en algún grado algunos datos de su país</w:t>
      </w:r>
      <w:r w:rsidRPr="006E4775">
        <w:rPr>
          <w:rFonts w:ascii="Garamond" w:hAnsi="Garamond"/>
          <w:b/>
        </w:rPr>
        <w:t>.</w:t>
      </w:r>
    </w:p>
    <w:p w14:paraId="08CC2E31" w14:textId="5DFD5376" w:rsidR="00962B70" w:rsidRPr="006E4775" w:rsidRDefault="00962B70" w:rsidP="00820F66">
      <w:pPr>
        <w:pStyle w:val="Ttulo3"/>
      </w:pPr>
      <w:bookmarkStart w:id="30" w:name="_Toc108799440"/>
      <w:r w:rsidRPr="006E4775">
        <w:t>Datos sociodemográficos</w:t>
      </w:r>
      <w:bookmarkEnd w:id="30"/>
      <w:r w:rsidRPr="006E4775">
        <w:rPr>
          <w:noProof/>
        </w:rPr>
        <w:t xml:space="preserve"> </w:t>
      </w:r>
    </w:p>
    <w:p w14:paraId="1C14B883" w14:textId="0AD40FB6" w:rsidR="00962B70" w:rsidRPr="006E4775" w:rsidRDefault="009A42EB" w:rsidP="00293B47">
      <w:pPr>
        <w:pStyle w:val="Prrafodelista"/>
        <w:numPr>
          <w:ilvl w:val="0"/>
          <w:numId w:val="4"/>
        </w:numPr>
        <w:spacing w:line="276" w:lineRule="auto"/>
        <w:ind w:left="584" w:hanging="357"/>
        <w:jc w:val="both"/>
        <w:rPr>
          <w:rFonts w:ascii="Garamond" w:hAnsi="Garamond"/>
        </w:rPr>
      </w:pPr>
      <w:r w:rsidRPr="006E4775">
        <w:rPr>
          <w:rFonts w:ascii="Garamond" w:hAnsi="Garamond"/>
          <w:noProof/>
        </w:rPr>
        <w:drawing>
          <wp:anchor distT="0" distB="0" distL="114300" distR="114300" simplePos="0" relativeHeight="251668480" behindDoc="1" locked="0" layoutInCell="1" allowOverlap="1" wp14:anchorId="235B285F" wp14:editId="18C28AEA">
            <wp:simplePos x="0" y="0"/>
            <wp:positionH relativeFrom="column">
              <wp:posOffset>2691765</wp:posOffset>
            </wp:positionH>
            <wp:positionV relativeFrom="paragraph">
              <wp:posOffset>6985</wp:posOffset>
            </wp:positionV>
            <wp:extent cx="3484245" cy="3267075"/>
            <wp:effectExtent l="0" t="0" r="1905" b="9525"/>
            <wp:wrapTight wrapText="bothSides">
              <wp:wrapPolygon edited="0">
                <wp:start x="0" y="0"/>
                <wp:lineTo x="0" y="21537"/>
                <wp:lineTo x="21494" y="21537"/>
                <wp:lineTo x="21494" y="0"/>
                <wp:lineTo x="0" y="0"/>
              </wp:wrapPolygon>
            </wp:wrapTight>
            <wp:docPr id="1" name="image4.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4.png" descr="Mapa&#10;&#10;Descripción generada automáticamente"/>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3484245" cy="3267075"/>
                    </a:xfrm>
                    <a:prstGeom prst="rect">
                      <a:avLst/>
                    </a:prstGeom>
                    <a:ln/>
                  </pic:spPr>
                </pic:pic>
              </a:graphicData>
            </a:graphic>
            <wp14:sizeRelH relativeFrom="margin">
              <wp14:pctWidth>0</wp14:pctWidth>
            </wp14:sizeRelH>
            <wp14:sizeRelV relativeFrom="margin">
              <wp14:pctHeight>0</wp14:pctHeight>
            </wp14:sizeRelV>
          </wp:anchor>
        </w:drawing>
      </w:r>
      <w:r w:rsidR="00962B70" w:rsidRPr="006E4775">
        <w:rPr>
          <w:rFonts w:ascii="Garamond" w:hAnsi="Garamond"/>
          <w:b/>
          <w:bCs/>
          <w:i/>
        </w:rPr>
        <w:t>Población</w:t>
      </w:r>
      <w:r w:rsidR="00962B70" w:rsidRPr="006E4775">
        <w:rPr>
          <w:rFonts w:ascii="Garamond" w:hAnsi="Garamond"/>
          <w:i/>
        </w:rPr>
        <w:t>:</w:t>
      </w:r>
      <w:r w:rsidR="00962B70" w:rsidRPr="006E4775">
        <w:rPr>
          <w:rFonts w:ascii="Garamond" w:hAnsi="Garamond"/>
        </w:rPr>
        <w:t xml:space="preserve"> </w:t>
      </w:r>
      <w:r w:rsidR="00F90C13" w:rsidRPr="006E4775">
        <w:rPr>
          <w:rFonts w:ascii="Garamond" w:hAnsi="Garamond"/>
        </w:rPr>
        <w:t>11.541.68</w:t>
      </w:r>
      <w:r w:rsidR="00665DB9" w:rsidRPr="006E4775">
        <w:rPr>
          <w:rFonts w:ascii="Garamond" w:hAnsi="Garamond"/>
        </w:rPr>
        <w:t>3</w:t>
      </w:r>
      <w:r w:rsidR="00F90C13" w:rsidRPr="006E4775">
        <w:rPr>
          <w:rFonts w:ascii="Garamond" w:hAnsi="Garamond"/>
        </w:rPr>
        <w:t xml:space="preserve"> </w:t>
      </w:r>
      <w:r w:rsidR="00962B70" w:rsidRPr="006E4775">
        <w:rPr>
          <w:rFonts w:ascii="Garamond" w:hAnsi="Garamond"/>
        </w:rPr>
        <w:t>(Banco mundial, 2021)</w:t>
      </w:r>
    </w:p>
    <w:p w14:paraId="519AAC71" w14:textId="35D638FA" w:rsidR="00F90C13" w:rsidRPr="006E4775" w:rsidRDefault="00962B70"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Porcentaje de NNAJ</w:t>
      </w:r>
      <w:r w:rsidRPr="006E4775">
        <w:rPr>
          <w:rFonts w:ascii="Garamond" w:hAnsi="Garamond"/>
          <w:i/>
        </w:rPr>
        <w:t>:</w:t>
      </w:r>
      <w:r w:rsidRPr="006E4775">
        <w:rPr>
          <w:rFonts w:ascii="Garamond" w:hAnsi="Garamond"/>
        </w:rPr>
        <w:t xml:space="preserve"> </w:t>
      </w:r>
      <w:r w:rsidR="00F90C13" w:rsidRPr="006E4775">
        <w:rPr>
          <w:rFonts w:ascii="Garamond" w:hAnsi="Garamond"/>
        </w:rPr>
        <w:t>Aproximadamente un 46% de la población tiene menos de 18 años (</w:t>
      </w:r>
      <w:proofErr w:type="spellStart"/>
      <w:r w:rsidR="00F90C13" w:rsidRPr="006E4775">
        <w:rPr>
          <w:rFonts w:ascii="Garamond" w:hAnsi="Garamond"/>
        </w:rPr>
        <w:t>Save</w:t>
      </w:r>
      <w:proofErr w:type="spellEnd"/>
      <w:r w:rsidR="00F90C13" w:rsidRPr="006E4775">
        <w:rPr>
          <w:rFonts w:ascii="Garamond" w:hAnsi="Garamond"/>
        </w:rPr>
        <w:t xml:space="preserve"> </w:t>
      </w:r>
      <w:proofErr w:type="spellStart"/>
      <w:r w:rsidR="00F90C13" w:rsidRPr="006E4775">
        <w:rPr>
          <w:rFonts w:ascii="Garamond" w:hAnsi="Garamond"/>
        </w:rPr>
        <w:t>the</w:t>
      </w:r>
      <w:proofErr w:type="spellEnd"/>
      <w:r w:rsidR="00F90C13" w:rsidRPr="006E4775">
        <w:rPr>
          <w:rFonts w:ascii="Garamond" w:hAnsi="Garamond"/>
        </w:rPr>
        <w:t xml:space="preserve"> </w:t>
      </w:r>
      <w:proofErr w:type="spellStart"/>
      <w:r w:rsidR="00F90C13" w:rsidRPr="006E4775">
        <w:rPr>
          <w:rFonts w:ascii="Garamond" w:hAnsi="Garamond"/>
        </w:rPr>
        <w:t>Children</w:t>
      </w:r>
      <w:proofErr w:type="spellEnd"/>
      <w:r w:rsidR="00F90C13" w:rsidRPr="006E4775">
        <w:rPr>
          <w:rFonts w:ascii="Garamond" w:hAnsi="Garamond"/>
        </w:rPr>
        <w:t>, 2012).</w:t>
      </w:r>
    </w:p>
    <w:p w14:paraId="48C37216" w14:textId="0CFC9E25" w:rsidR="00F90C13" w:rsidRPr="006E4775" w:rsidRDefault="00962B70"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 xml:space="preserve">Idioma: </w:t>
      </w:r>
      <w:r w:rsidR="00F90C13" w:rsidRPr="006E4775">
        <w:rPr>
          <w:rFonts w:ascii="Garamond" w:hAnsi="Garamond"/>
        </w:rPr>
        <w:t xml:space="preserve">La Constitución señala como idiomas oficiales el </w:t>
      </w:r>
      <w:proofErr w:type="spellStart"/>
      <w:r w:rsidR="00F90C13" w:rsidRPr="006E4775">
        <w:rPr>
          <w:rFonts w:ascii="Garamond" w:hAnsi="Garamond"/>
        </w:rPr>
        <w:t>kreyòl</w:t>
      </w:r>
      <w:proofErr w:type="spellEnd"/>
      <w:r w:rsidR="00F90C13" w:rsidRPr="006E4775">
        <w:rPr>
          <w:rFonts w:ascii="Garamond" w:hAnsi="Garamond"/>
        </w:rPr>
        <w:t xml:space="preserve"> o criollo haitiano y el francés.</w:t>
      </w:r>
    </w:p>
    <w:p w14:paraId="3938D244" w14:textId="6B9D0586" w:rsidR="00962B70" w:rsidRPr="006E4775" w:rsidRDefault="00962B70"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PIB</w:t>
      </w:r>
      <w:r w:rsidRPr="006E4775">
        <w:rPr>
          <w:rFonts w:ascii="Garamond" w:hAnsi="Garamond"/>
          <w:i/>
        </w:rPr>
        <w:t>:</w:t>
      </w:r>
      <w:r w:rsidRPr="006E4775">
        <w:rPr>
          <w:rFonts w:ascii="Garamond" w:hAnsi="Garamond"/>
        </w:rPr>
        <w:t xml:space="preserve"> </w:t>
      </w:r>
      <w:r w:rsidR="00665DB9" w:rsidRPr="006E4775">
        <w:rPr>
          <w:rFonts w:ascii="Garamond" w:hAnsi="Garamond"/>
        </w:rPr>
        <w:t>20,94</w:t>
      </w:r>
      <w:r w:rsidRPr="006E4775">
        <w:rPr>
          <w:rFonts w:ascii="Garamond" w:hAnsi="Garamond" w:cs="Arial"/>
          <w:b/>
          <w:bCs/>
          <w:shd w:val="clear" w:color="auto" w:fill="F2F3F6"/>
        </w:rPr>
        <w:t xml:space="preserve"> </w:t>
      </w:r>
      <w:r w:rsidRPr="006E4775">
        <w:rPr>
          <w:rFonts w:ascii="Garamond" w:hAnsi="Garamond"/>
        </w:rPr>
        <w:t>miles de millones de dólares al 2021 (Banco Mundial, 2021)</w:t>
      </w:r>
    </w:p>
    <w:p w14:paraId="01E9E5D0" w14:textId="66831A11" w:rsidR="00665DB9" w:rsidRPr="007F24B3" w:rsidRDefault="00665DB9" w:rsidP="00293B47">
      <w:pPr>
        <w:pStyle w:val="Prrafodelista"/>
        <w:numPr>
          <w:ilvl w:val="0"/>
          <w:numId w:val="4"/>
        </w:numPr>
        <w:spacing w:line="276" w:lineRule="auto"/>
        <w:ind w:left="584" w:hanging="357"/>
        <w:jc w:val="both"/>
        <w:rPr>
          <w:rFonts w:ascii="Garamond" w:hAnsi="Garamond"/>
        </w:rPr>
      </w:pPr>
      <w:r w:rsidRPr="007F24B3">
        <w:rPr>
          <w:rFonts w:ascii="Garamond" w:hAnsi="Garamond"/>
          <w:b/>
          <w:bCs/>
          <w:i/>
        </w:rPr>
        <w:t>PIB per cápita</w:t>
      </w:r>
      <w:r w:rsidR="007F24B3">
        <w:rPr>
          <w:rFonts w:ascii="Garamond" w:hAnsi="Garamond"/>
          <w:b/>
          <w:bCs/>
          <w:i/>
        </w:rPr>
        <w:t xml:space="preserve">: </w:t>
      </w:r>
      <w:r w:rsidR="007F24B3" w:rsidRPr="007F24B3">
        <w:rPr>
          <w:rFonts w:ascii="Garamond" w:hAnsi="Garamond"/>
          <w:iCs/>
        </w:rPr>
        <w:t xml:space="preserve"> US$ 1.814,7 (Banco Mundial, 2021)</w:t>
      </w:r>
    </w:p>
    <w:p w14:paraId="53E73C7D" w14:textId="3BEADD2B" w:rsidR="00962B70" w:rsidRPr="006E4775" w:rsidRDefault="00962B70"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Nivel de pobreza</w:t>
      </w:r>
      <w:r w:rsidR="007F24B3">
        <w:rPr>
          <w:rFonts w:ascii="Garamond" w:hAnsi="Garamond"/>
          <w:b/>
          <w:bCs/>
          <w:i/>
        </w:rPr>
        <w:t xml:space="preserve">: </w:t>
      </w:r>
      <w:r w:rsidR="007F24B3" w:rsidRPr="007F24B3">
        <w:rPr>
          <w:rFonts w:ascii="Garamond" w:hAnsi="Garamond"/>
          <w:iCs/>
        </w:rPr>
        <w:t>24,5% (Banco Mundial, 2020)</w:t>
      </w:r>
    </w:p>
    <w:p w14:paraId="74824A8A" w14:textId="77777777" w:rsidR="00F90C13" w:rsidRPr="006E4775" w:rsidRDefault="00962B70" w:rsidP="00293B47">
      <w:pPr>
        <w:pStyle w:val="Prrafodelista"/>
        <w:numPr>
          <w:ilvl w:val="0"/>
          <w:numId w:val="4"/>
        </w:numPr>
        <w:spacing w:line="276" w:lineRule="auto"/>
        <w:ind w:left="584" w:hanging="357"/>
        <w:jc w:val="both"/>
        <w:rPr>
          <w:rFonts w:ascii="Garamond" w:hAnsi="Garamond"/>
          <w:iCs/>
        </w:rPr>
      </w:pPr>
      <w:r w:rsidRPr="006E4775">
        <w:rPr>
          <w:rFonts w:ascii="Garamond" w:hAnsi="Garamond"/>
          <w:b/>
          <w:bCs/>
          <w:i/>
        </w:rPr>
        <w:t>Índice de desarrollo humano</w:t>
      </w:r>
      <w:r w:rsidRPr="006E4775">
        <w:rPr>
          <w:rFonts w:ascii="Garamond" w:hAnsi="Garamond"/>
          <w:i/>
        </w:rPr>
        <w:t xml:space="preserve">: </w:t>
      </w:r>
      <w:r w:rsidR="00F90C13" w:rsidRPr="006E4775">
        <w:rPr>
          <w:rFonts w:ascii="Garamond" w:hAnsi="Garamond"/>
        </w:rPr>
        <w:t>0,510 (PNUD, 2019). Se ubica en el lugar 170 sobre 188 países para el 2021 (Ministerio de Asuntos Exteriores, Unión Europea y Cooperación, 2022b).</w:t>
      </w:r>
    </w:p>
    <w:p w14:paraId="044AC61D" w14:textId="5B126441" w:rsidR="00962B70" w:rsidRPr="006E4775" w:rsidRDefault="00962B70" w:rsidP="00293B47">
      <w:pPr>
        <w:pStyle w:val="Prrafodelista"/>
        <w:numPr>
          <w:ilvl w:val="0"/>
          <w:numId w:val="4"/>
        </w:numPr>
        <w:spacing w:line="276" w:lineRule="auto"/>
        <w:ind w:left="584" w:hanging="357"/>
        <w:jc w:val="both"/>
        <w:rPr>
          <w:rFonts w:ascii="Garamond" w:hAnsi="Garamond"/>
          <w:iCs/>
        </w:rPr>
      </w:pPr>
      <w:r w:rsidRPr="006E4775">
        <w:rPr>
          <w:rFonts w:ascii="Garamond" w:hAnsi="Garamond"/>
          <w:b/>
          <w:bCs/>
          <w:i/>
        </w:rPr>
        <w:t xml:space="preserve">Desempleo (% de población activa total): </w:t>
      </w:r>
      <w:r w:rsidR="00665DB9" w:rsidRPr="006E4775">
        <w:rPr>
          <w:rFonts w:ascii="Garamond" w:hAnsi="Garamond"/>
          <w:iCs/>
        </w:rPr>
        <w:t>15,7</w:t>
      </w:r>
      <w:r w:rsidRPr="006E4775">
        <w:rPr>
          <w:rFonts w:ascii="Garamond" w:hAnsi="Garamond"/>
          <w:iCs/>
        </w:rPr>
        <w:t>% (Banco mundial, 2021)</w:t>
      </w:r>
    </w:p>
    <w:p w14:paraId="439EE93A" w14:textId="78ACC1EB" w:rsidR="00962B70" w:rsidRPr="006E4775" w:rsidRDefault="00962B70"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Esperanza de vida al nacer:</w:t>
      </w:r>
      <w:r w:rsidRPr="006E4775">
        <w:rPr>
          <w:rFonts w:ascii="Garamond" w:hAnsi="Garamond"/>
        </w:rPr>
        <w:t xml:space="preserve"> </w:t>
      </w:r>
      <w:r w:rsidR="00665DB9" w:rsidRPr="006E4775">
        <w:rPr>
          <w:rFonts w:ascii="Garamond" w:hAnsi="Garamond"/>
        </w:rPr>
        <w:t>64</w:t>
      </w:r>
      <w:r w:rsidRPr="006E4775">
        <w:rPr>
          <w:rFonts w:ascii="Garamond" w:hAnsi="Garamond"/>
        </w:rPr>
        <w:t xml:space="preserve"> años (Banco Mundial, 2020)</w:t>
      </w:r>
    </w:p>
    <w:p w14:paraId="426633BB" w14:textId="77777777" w:rsidR="00962B70" w:rsidRPr="006E4775" w:rsidRDefault="00962B70"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 xml:space="preserve">Tasa de homicidios intencionales (por cada 100.000 habitantes): </w:t>
      </w:r>
      <w:r w:rsidRPr="006E4775">
        <w:rPr>
          <w:rFonts w:ascii="Garamond" w:hAnsi="Garamond"/>
          <w:iCs/>
        </w:rPr>
        <w:t xml:space="preserve">7 </w:t>
      </w:r>
      <w:r w:rsidRPr="006E4775">
        <w:rPr>
          <w:rFonts w:ascii="Garamond" w:hAnsi="Garamond"/>
        </w:rPr>
        <w:t>(Banco Mundial, 2020)</w:t>
      </w:r>
    </w:p>
    <w:p w14:paraId="65DB68B8" w14:textId="4BC14CD1" w:rsidR="00962B70" w:rsidRPr="006E4775" w:rsidRDefault="00962B70" w:rsidP="00293B47">
      <w:pPr>
        <w:pStyle w:val="Prrafodelista"/>
        <w:numPr>
          <w:ilvl w:val="0"/>
          <w:numId w:val="4"/>
        </w:numPr>
        <w:spacing w:line="276" w:lineRule="auto"/>
        <w:ind w:left="584" w:hanging="357"/>
        <w:jc w:val="both"/>
        <w:rPr>
          <w:rFonts w:ascii="Garamond" w:hAnsi="Garamond"/>
        </w:rPr>
      </w:pPr>
      <w:r w:rsidRPr="006E4775">
        <w:rPr>
          <w:rFonts w:ascii="Garamond" w:hAnsi="Garamond"/>
          <w:b/>
          <w:bCs/>
          <w:i/>
        </w:rPr>
        <w:t>Migración</w:t>
      </w:r>
      <w:r w:rsidRPr="006E4775">
        <w:rPr>
          <w:rFonts w:ascii="Garamond" w:hAnsi="Garamond"/>
          <w:b/>
          <w:bCs/>
          <w:iCs/>
        </w:rPr>
        <w:t xml:space="preserve"> </w:t>
      </w:r>
      <w:r w:rsidRPr="006E4775">
        <w:rPr>
          <w:rFonts w:ascii="Garamond" w:hAnsi="Garamond"/>
          <w:b/>
          <w:bCs/>
          <w:i/>
          <w:iCs/>
        </w:rPr>
        <w:t>neta:</w:t>
      </w:r>
      <w:r w:rsidRPr="006E4775">
        <w:rPr>
          <w:rFonts w:ascii="Garamond" w:hAnsi="Garamond"/>
        </w:rPr>
        <w:t xml:space="preserve"> </w:t>
      </w:r>
      <w:r w:rsidR="00665DB9" w:rsidRPr="006E4775">
        <w:rPr>
          <w:rFonts w:ascii="Garamond" w:hAnsi="Garamond"/>
        </w:rPr>
        <w:t xml:space="preserve">-175.000 </w:t>
      </w:r>
      <w:r w:rsidRPr="006E4775">
        <w:rPr>
          <w:rFonts w:ascii="Garamond" w:hAnsi="Garamond"/>
        </w:rPr>
        <w:t>(Banco Mundial, 2017).</w:t>
      </w:r>
    </w:p>
    <w:p w14:paraId="2D4D483E" w14:textId="77777777" w:rsidR="00962B70" w:rsidRPr="006E4775" w:rsidRDefault="00962B70" w:rsidP="00820F66">
      <w:pPr>
        <w:pStyle w:val="Ttulo3"/>
      </w:pPr>
      <w:bookmarkStart w:id="31" w:name="_Toc108799441"/>
      <w:r w:rsidRPr="006E4775">
        <w:t>Descripción fenómeno migratorio del país</w:t>
      </w:r>
      <w:bookmarkEnd w:id="31"/>
    </w:p>
    <w:p w14:paraId="76A9FB56" w14:textId="77777777" w:rsidR="00F90C13" w:rsidRPr="006E4775" w:rsidRDefault="00F90C13" w:rsidP="00293B47">
      <w:pPr>
        <w:spacing w:line="276" w:lineRule="auto"/>
        <w:jc w:val="both"/>
        <w:rPr>
          <w:rFonts w:ascii="Garamond" w:hAnsi="Garamond"/>
        </w:rPr>
      </w:pPr>
      <w:r w:rsidRPr="006E4775">
        <w:rPr>
          <w:rFonts w:ascii="Garamond" w:hAnsi="Garamond"/>
        </w:rPr>
        <w:t>Para el 2019, 14% de la población haitiana emigró fuera del país (</w:t>
      </w:r>
      <w:proofErr w:type="spellStart"/>
      <w:r w:rsidRPr="006E4775">
        <w:rPr>
          <w:rFonts w:ascii="Garamond" w:hAnsi="Garamond"/>
        </w:rPr>
        <w:t>DatosMacro</w:t>
      </w:r>
      <w:proofErr w:type="spellEnd"/>
      <w:r w:rsidRPr="006E4775">
        <w:rPr>
          <w:rFonts w:ascii="Garamond" w:hAnsi="Garamond"/>
        </w:rPr>
        <w:t xml:space="preserve">, 2019b). </w:t>
      </w:r>
    </w:p>
    <w:p w14:paraId="5DA7B9E3" w14:textId="455DFC1A" w:rsidR="00F90C13" w:rsidRPr="006E4775" w:rsidRDefault="00F90C13" w:rsidP="00293B47">
      <w:pPr>
        <w:spacing w:line="276" w:lineRule="auto"/>
        <w:jc w:val="both"/>
        <w:rPr>
          <w:rFonts w:ascii="Garamond" w:hAnsi="Garamond"/>
        </w:rPr>
      </w:pPr>
      <w:r w:rsidRPr="006E4775">
        <w:rPr>
          <w:rFonts w:ascii="Garamond" w:hAnsi="Garamond"/>
        </w:rPr>
        <w:lastRenderedPageBreak/>
        <w:t>Al revisar la literatura, se observa un consenso en torno al carácter predominantemente emigrante de Haití (Navarrete, 2014)</w:t>
      </w:r>
      <w:r w:rsidR="0056068C" w:rsidRPr="006E4775">
        <w:rPr>
          <w:rFonts w:ascii="Garamond" w:hAnsi="Garamond"/>
        </w:rPr>
        <w:t>.</w:t>
      </w:r>
      <w:r w:rsidR="00794158" w:rsidRPr="006E4775">
        <w:rPr>
          <w:rFonts w:ascii="Garamond" w:hAnsi="Garamond"/>
        </w:rPr>
        <w:t xml:space="preserve"> </w:t>
      </w:r>
      <w:r w:rsidRPr="006E4775">
        <w:rPr>
          <w:rFonts w:ascii="Garamond" w:hAnsi="Garamond"/>
        </w:rPr>
        <w:t xml:space="preserve">Como </w:t>
      </w:r>
      <w:r w:rsidR="0056068C" w:rsidRPr="006E4775">
        <w:rPr>
          <w:rFonts w:ascii="Garamond" w:hAnsi="Garamond"/>
        </w:rPr>
        <w:t xml:space="preserve">principales </w:t>
      </w:r>
      <w:r w:rsidRPr="006E4775">
        <w:rPr>
          <w:rFonts w:ascii="Garamond" w:hAnsi="Garamond"/>
        </w:rPr>
        <w:t xml:space="preserve">factores que empujan a salir del país, </w:t>
      </w:r>
      <w:r w:rsidR="0056068C" w:rsidRPr="006E4775">
        <w:rPr>
          <w:rFonts w:ascii="Garamond" w:hAnsi="Garamond"/>
        </w:rPr>
        <w:t>los estudios</w:t>
      </w:r>
      <w:r w:rsidRPr="006E4775">
        <w:rPr>
          <w:rFonts w:ascii="Garamond" w:hAnsi="Garamond"/>
        </w:rPr>
        <w:t xml:space="preserve"> identifica</w:t>
      </w:r>
      <w:r w:rsidR="0056068C" w:rsidRPr="006E4775">
        <w:rPr>
          <w:rFonts w:ascii="Garamond" w:hAnsi="Garamond"/>
        </w:rPr>
        <w:t>n</w:t>
      </w:r>
      <w:r w:rsidRPr="006E4775">
        <w:rPr>
          <w:rFonts w:ascii="Garamond" w:hAnsi="Garamond"/>
        </w:rPr>
        <w:t xml:space="preserve"> </w:t>
      </w:r>
      <w:r w:rsidR="0056068C" w:rsidRPr="006E4775">
        <w:rPr>
          <w:rFonts w:ascii="Garamond" w:hAnsi="Garamond"/>
        </w:rPr>
        <w:t>razones</w:t>
      </w:r>
      <w:r w:rsidRPr="006E4775">
        <w:rPr>
          <w:rFonts w:ascii="Garamond" w:hAnsi="Garamond"/>
        </w:rPr>
        <w:t xml:space="preserve"> como la pobreza, la violencia indiscriminada, el declive económico, el aumento de la inseguridad alimentaria, la inestabilidad política y los bajos sueldos son determinantes para optar por emigrar (</w:t>
      </w:r>
      <w:proofErr w:type="spellStart"/>
      <w:r w:rsidRPr="006E4775">
        <w:rPr>
          <w:rFonts w:ascii="Garamond" w:hAnsi="Garamond"/>
        </w:rPr>
        <w:t>Gammage</w:t>
      </w:r>
      <w:proofErr w:type="spellEnd"/>
      <w:r w:rsidRPr="006E4775">
        <w:rPr>
          <w:rFonts w:ascii="Garamond" w:hAnsi="Garamond"/>
        </w:rPr>
        <w:t xml:space="preserve">, 2004; Orozco, 2006; </w:t>
      </w:r>
      <w:proofErr w:type="spellStart"/>
      <w:r w:rsidRPr="006E4775">
        <w:rPr>
          <w:rFonts w:ascii="Garamond" w:hAnsi="Garamond"/>
        </w:rPr>
        <w:t>Mazzeo</w:t>
      </w:r>
      <w:proofErr w:type="spellEnd"/>
      <w:r w:rsidRPr="006E4775">
        <w:rPr>
          <w:rFonts w:ascii="Garamond" w:hAnsi="Garamond"/>
        </w:rPr>
        <w:t>, 2009). Por otra parte,</w:t>
      </w:r>
      <w:r w:rsidR="00A3557D" w:rsidRPr="006E4775">
        <w:rPr>
          <w:rFonts w:ascii="Garamond" w:hAnsi="Garamond"/>
        </w:rPr>
        <w:t xml:space="preserve"> también</w:t>
      </w:r>
      <w:r w:rsidRPr="006E4775">
        <w:rPr>
          <w:rFonts w:ascii="Garamond" w:hAnsi="Garamond"/>
        </w:rPr>
        <w:t xml:space="preserve"> se identifica </w:t>
      </w:r>
      <w:r w:rsidR="00A3557D" w:rsidRPr="006E4775">
        <w:rPr>
          <w:rFonts w:ascii="Garamond" w:hAnsi="Garamond"/>
        </w:rPr>
        <w:t xml:space="preserve">como factor relevante </w:t>
      </w:r>
      <w:r w:rsidRPr="006E4775">
        <w:rPr>
          <w:rFonts w:ascii="Garamond" w:hAnsi="Garamond"/>
        </w:rPr>
        <w:t xml:space="preserve"> las oportunidades laborales esperadas en el extranjero (Orozco, 2006). </w:t>
      </w:r>
    </w:p>
    <w:p w14:paraId="58015356" w14:textId="77777777" w:rsidR="00F90C13" w:rsidRPr="006E4775" w:rsidRDefault="00F90C13" w:rsidP="00293B47">
      <w:pPr>
        <w:spacing w:line="276" w:lineRule="auto"/>
        <w:jc w:val="both"/>
        <w:rPr>
          <w:rFonts w:ascii="Garamond" w:hAnsi="Garamond"/>
        </w:rPr>
      </w:pPr>
      <w:r w:rsidRPr="006E4775">
        <w:rPr>
          <w:rFonts w:ascii="Garamond" w:hAnsi="Garamond"/>
        </w:rPr>
        <w:t>Cabe destacar que, en lo que respecta a la migración haitiana hacia el sur, un punto de quiebre significó el terremoto del año 2010, el cual desencadena un cambio en el patrón migratorio (OIM/IPPDH, 2017).</w:t>
      </w:r>
    </w:p>
    <w:p w14:paraId="23604B30" w14:textId="77777777" w:rsidR="00F90C13" w:rsidRPr="006E4775" w:rsidRDefault="00F90C13" w:rsidP="00820F66">
      <w:pPr>
        <w:pStyle w:val="Ttulo3"/>
      </w:pPr>
      <w:bookmarkStart w:id="32" w:name="_Toc108799442"/>
      <w:r w:rsidRPr="006E4775">
        <w:t>Descripción sobre instituciones importantes</w:t>
      </w:r>
      <w:bookmarkEnd w:id="32"/>
    </w:p>
    <w:p w14:paraId="40313C0A" w14:textId="77777777" w:rsidR="00F90C13" w:rsidRPr="006E4775" w:rsidRDefault="00F90C13" w:rsidP="00820F66">
      <w:pPr>
        <w:pStyle w:val="Ttulo4"/>
      </w:pPr>
      <w:r w:rsidRPr="006E4775">
        <w:t>Unidades administrativas</w:t>
      </w:r>
    </w:p>
    <w:p w14:paraId="48219045" w14:textId="41BCA418" w:rsidR="00F90C13" w:rsidRPr="006E4775" w:rsidRDefault="00F90C13" w:rsidP="00293B47">
      <w:pPr>
        <w:spacing w:line="276" w:lineRule="auto"/>
        <w:jc w:val="both"/>
        <w:rPr>
          <w:rFonts w:ascii="Garamond" w:hAnsi="Garamond"/>
        </w:rPr>
      </w:pPr>
      <w:r w:rsidRPr="006E4775">
        <w:rPr>
          <w:rFonts w:ascii="Garamond" w:hAnsi="Garamond"/>
        </w:rPr>
        <w:t xml:space="preserve"> “El artículo 9 de la Constitución de 1987 establece que el territorio nacional se divide en Departamentos, Distritos, Municipios, Barrios y Secciones municipales. Haití cuenta con diez Departamentos: Noroeste, Norte, Noreste, </w:t>
      </w:r>
      <w:proofErr w:type="spellStart"/>
      <w:r w:rsidRPr="006E4775">
        <w:rPr>
          <w:rFonts w:ascii="Garamond" w:hAnsi="Garamond"/>
        </w:rPr>
        <w:t>Artibonite</w:t>
      </w:r>
      <w:proofErr w:type="spellEnd"/>
      <w:r w:rsidRPr="006E4775">
        <w:rPr>
          <w:rFonts w:ascii="Garamond" w:hAnsi="Garamond"/>
        </w:rPr>
        <w:t xml:space="preserve">, Central, Oeste, </w:t>
      </w:r>
      <w:proofErr w:type="spellStart"/>
      <w:r w:rsidRPr="006E4775">
        <w:rPr>
          <w:rFonts w:ascii="Garamond" w:hAnsi="Garamond"/>
        </w:rPr>
        <w:t>Grand’Anse</w:t>
      </w:r>
      <w:proofErr w:type="spellEnd"/>
      <w:r w:rsidRPr="006E4775">
        <w:rPr>
          <w:rFonts w:ascii="Garamond" w:hAnsi="Garamond"/>
        </w:rPr>
        <w:t xml:space="preserve">, </w:t>
      </w:r>
      <w:proofErr w:type="spellStart"/>
      <w:r w:rsidRPr="006E4775">
        <w:rPr>
          <w:rFonts w:ascii="Garamond" w:hAnsi="Garamond"/>
        </w:rPr>
        <w:t>Nippes</w:t>
      </w:r>
      <w:proofErr w:type="spellEnd"/>
      <w:r w:rsidRPr="006E4775">
        <w:rPr>
          <w:rFonts w:ascii="Garamond" w:hAnsi="Garamond"/>
        </w:rPr>
        <w:t>, Sur y Sudeste” (Ministerio de Asuntos Exteriores, Unión Europea y Cooperación, 2022b)</w:t>
      </w:r>
      <w:r w:rsidR="00794158" w:rsidRPr="006E4775">
        <w:rPr>
          <w:rFonts w:ascii="Garamond" w:hAnsi="Garamond"/>
        </w:rPr>
        <w:t>.</w:t>
      </w:r>
    </w:p>
    <w:p w14:paraId="42311CC3" w14:textId="77777777" w:rsidR="00F90C13" w:rsidRPr="006E4775" w:rsidRDefault="00F90C13" w:rsidP="00820F66">
      <w:pPr>
        <w:pStyle w:val="Ttulo4"/>
      </w:pPr>
      <w:r w:rsidRPr="006E4775">
        <w:t>Sistema de justicia juvenil</w:t>
      </w:r>
    </w:p>
    <w:p w14:paraId="4AA89583" w14:textId="71293FA6" w:rsidR="00F90C13" w:rsidRPr="006E4775" w:rsidRDefault="00F90C13" w:rsidP="00293B47">
      <w:pPr>
        <w:spacing w:line="276" w:lineRule="auto"/>
        <w:jc w:val="both"/>
        <w:rPr>
          <w:rFonts w:ascii="Garamond" w:hAnsi="Garamond"/>
        </w:rPr>
      </w:pPr>
      <w:r w:rsidRPr="006E4775">
        <w:rPr>
          <w:rFonts w:ascii="Garamond" w:hAnsi="Garamond"/>
        </w:rPr>
        <w:t>Existen dos cuerpos jurídicos que regulan el sistema de justicia juvenil. Por una parte, la Ley del 7 septiembre 1961 y el Decreto del 20 noviembre 1961 (Abogados Sin Fronteras Canadá, 2014). Una de las características fundamentales del primer cuerpo jurídico es que establece una justicia especializada para jóvenes en conflicto con la ley (Abogado Sin Fronteras Canadá, 2014).</w:t>
      </w:r>
    </w:p>
    <w:p w14:paraId="0608CAF7" w14:textId="567BC933" w:rsidR="00F90C13" w:rsidRPr="006E4775" w:rsidRDefault="00F90C13" w:rsidP="00293B47">
      <w:pPr>
        <w:spacing w:line="276" w:lineRule="auto"/>
        <w:jc w:val="both"/>
        <w:rPr>
          <w:rFonts w:ascii="Garamond" w:hAnsi="Garamond"/>
        </w:rPr>
      </w:pPr>
      <w:r w:rsidRPr="006E4775">
        <w:rPr>
          <w:rFonts w:ascii="Garamond" w:hAnsi="Garamond"/>
        </w:rPr>
        <w:t xml:space="preserve">Los 13 años se instauran como la edad penal mínima (UNICEF Venezuela, 2016) y, por el contrario, la edad máxima según la cual la persona estará sujeta al sistema penal juvenil es 16 años (UNICEF, 2011). </w:t>
      </w:r>
    </w:p>
    <w:p w14:paraId="5C69D670" w14:textId="77777777" w:rsidR="00F90C13" w:rsidRPr="006E4775" w:rsidRDefault="00F90C13" w:rsidP="00820F66">
      <w:pPr>
        <w:pStyle w:val="Ttulo3"/>
      </w:pPr>
      <w:bookmarkStart w:id="33" w:name="_Toc108799443"/>
      <w:r w:rsidRPr="006E4775">
        <w:t>Embajada y Consulados en Chile</w:t>
      </w:r>
      <w:bookmarkEnd w:id="33"/>
    </w:p>
    <w:p w14:paraId="1B4F11C6" w14:textId="238ADF4B" w:rsidR="00A278BB" w:rsidRPr="006E4775" w:rsidRDefault="00A278BB" w:rsidP="00293B47">
      <w:pPr>
        <w:spacing w:line="276" w:lineRule="auto"/>
        <w:jc w:val="both"/>
        <w:rPr>
          <w:rFonts w:ascii="Garamond" w:hAnsi="Garamond"/>
        </w:rPr>
      </w:pPr>
      <w:r w:rsidRPr="006E4775">
        <w:rPr>
          <w:rFonts w:ascii="Garamond" w:hAnsi="Garamond"/>
        </w:rPr>
        <w:t xml:space="preserve">A la fecha (2022), existe una embajada y </w:t>
      </w:r>
      <w:r w:rsidR="00B93CBF" w:rsidRPr="006E4775">
        <w:rPr>
          <w:rFonts w:ascii="Garamond" w:hAnsi="Garamond"/>
        </w:rPr>
        <w:t>un</w:t>
      </w:r>
      <w:r w:rsidRPr="006E4775">
        <w:rPr>
          <w:rFonts w:ascii="Garamond" w:hAnsi="Garamond"/>
        </w:rPr>
        <w:t xml:space="preserve"> consulado</w:t>
      </w:r>
      <w:r w:rsidR="00B93CBF" w:rsidRPr="006E4775">
        <w:rPr>
          <w:rFonts w:ascii="Garamond" w:hAnsi="Garamond"/>
        </w:rPr>
        <w:t xml:space="preserve"> en</w:t>
      </w:r>
      <w:r w:rsidRPr="006E4775">
        <w:rPr>
          <w:rFonts w:ascii="Garamond" w:hAnsi="Garamond"/>
        </w:rPr>
        <w:t xml:space="preserve"> el país</w:t>
      </w:r>
      <w:r w:rsidR="005226C9" w:rsidRPr="006E4775">
        <w:rPr>
          <w:rFonts w:ascii="Garamond" w:hAnsi="Garamond"/>
        </w:rPr>
        <w:t>, solo en la R. Metropolitana</w:t>
      </w:r>
      <w:r w:rsidRPr="006E4775">
        <w:rPr>
          <w:rFonts w:ascii="Garamond" w:hAnsi="Garamond"/>
        </w:rPr>
        <w:t>:</w:t>
      </w:r>
    </w:p>
    <w:p w14:paraId="65E29A24" w14:textId="004821A1" w:rsidR="00F90C13" w:rsidRPr="006E4775" w:rsidRDefault="00A278BB" w:rsidP="00293B47">
      <w:pPr>
        <w:spacing w:line="276" w:lineRule="auto"/>
        <w:jc w:val="both"/>
        <w:rPr>
          <w:rFonts w:ascii="Garamond" w:hAnsi="Garamond"/>
          <w:b/>
          <w:bCs/>
        </w:rPr>
      </w:pPr>
      <w:r w:rsidRPr="006E4775">
        <w:rPr>
          <w:rFonts w:ascii="Garamond" w:hAnsi="Garamond"/>
          <w:b/>
          <w:bCs/>
        </w:rPr>
        <w:t>Región Metropolitana:</w:t>
      </w:r>
    </w:p>
    <w:p w14:paraId="4A3359C0" w14:textId="78D87319" w:rsidR="00F90C13" w:rsidRPr="006E4775" w:rsidRDefault="00000000" w:rsidP="00293B47">
      <w:pPr>
        <w:pStyle w:val="Prrafodelista"/>
        <w:numPr>
          <w:ilvl w:val="0"/>
          <w:numId w:val="9"/>
        </w:numPr>
        <w:spacing w:line="276" w:lineRule="auto"/>
        <w:jc w:val="both"/>
        <w:rPr>
          <w:rFonts w:ascii="Garamond" w:hAnsi="Garamond"/>
        </w:rPr>
      </w:pPr>
      <w:sdt>
        <w:sdtPr>
          <w:rPr>
            <w:rFonts w:ascii="Garamond" w:hAnsi="Garamond"/>
          </w:rPr>
          <w:tag w:val="goog_rdk_7"/>
          <w:id w:val="-1211030142"/>
        </w:sdtPr>
        <w:sdtContent/>
      </w:sdt>
      <w:r w:rsidR="00F90C13" w:rsidRPr="006E4775">
        <w:rPr>
          <w:rFonts w:ascii="Garamond" w:hAnsi="Garamond"/>
        </w:rPr>
        <w:t>Embajada</w:t>
      </w:r>
      <w:r w:rsidR="0085204E" w:rsidRPr="006E4775">
        <w:rPr>
          <w:rFonts w:ascii="Garamond" w:hAnsi="Garamond"/>
        </w:rPr>
        <w:t>:</w:t>
      </w:r>
      <w:r w:rsidR="00DD6547" w:rsidRPr="006E4775">
        <w:rPr>
          <w:rFonts w:ascii="Garamond" w:hAnsi="Garamond"/>
        </w:rPr>
        <w:t xml:space="preserve"> General del Canto # 324, Providencia, Santiago.</w:t>
      </w:r>
      <w:r w:rsidR="00A278BB" w:rsidRPr="006E4775">
        <w:rPr>
          <w:rFonts w:ascii="Garamond" w:hAnsi="Garamond"/>
        </w:rPr>
        <w:t xml:space="preserve"> </w:t>
      </w:r>
      <w:r w:rsidR="00F90C13" w:rsidRPr="006E4775">
        <w:rPr>
          <w:rFonts w:ascii="Garamond" w:hAnsi="Garamond"/>
        </w:rPr>
        <w:t>Teléfonos: (56) 2 2231 3364/(56) 2 2231 1776</w:t>
      </w:r>
      <w:r w:rsidR="00A278BB" w:rsidRPr="006E4775">
        <w:rPr>
          <w:rFonts w:ascii="Garamond" w:hAnsi="Garamond"/>
        </w:rPr>
        <w:t xml:space="preserve">. </w:t>
      </w:r>
      <w:r w:rsidR="00F90C13" w:rsidRPr="006E4775">
        <w:rPr>
          <w:rFonts w:ascii="Garamond" w:hAnsi="Garamond"/>
        </w:rPr>
        <w:t xml:space="preserve">Correo: </w:t>
      </w:r>
      <w:hyperlink r:id="rId35" w:history="1">
        <w:r w:rsidR="00BA43B8" w:rsidRPr="006E4775">
          <w:rPr>
            <w:rStyle w:val="Hipervnculo"/>
            <w:rFonts w:ascii="Garamond" w:hAnsi="Garamond"/>
          </w:rPr>
          <w:t>embajada@embajadahaiti.cl</w:t>
        </w:r>
      </w:hyperlink>
      <w:r w:rsidR="00BA43B8" w:rsidRPr="006E4775">
        <w:rPr>
          <w:rFonts w:ascii="Garamond" w:hAnsi="Garamond"/>
        </w:rPr>
        <w:t xml:space="preserve">; </w:t>
      </w:r>
      <w:hyperlink r:id="rId36">
        <w:r w:rsidR="00F90C13" w:rsidRPr="006E4775">
          <w:rPr>
            <w:rFonts w:ascii="Garamond" w:hAnsi="Garamond"/>
            <w:color w:val="1155CC"/>
            <w:u w:val="single"/>
          </w:rPr>
          <w:t>pembajada@embajadahaiti.cl</w:t>
        </w:r>
      </w:hyperlink>
      <w:r w:rsidR="005226C9" w:rsidRPr="006E4775">
        <w:rPr>
          <w:rFonts w:ascii="Garamond" w:hAnsi="Garamond"/>
          <w:color w:val="1155CC"/>
          <w:u w:val="single"/>
        </w:rPr>
        <w:t>; amb.chili@diplomatie.ht.</w:t>
      </w:r>
      <w:r w:rsidR="00C73E8F" w:rsidRPr="006E4775">
        <w:rPr>
          <w:rFonts w:ascii="Garamond" w:hAnsi="Garamond"/>
          <w:color w:val="1155CC"/>
          <w:u w:val="single"/>
        </w:rPr>
        <w:t xml:space="preserve"> </w:t>
      </w:r>
      <w:r w:rsidR="00C73E8F" w:rsidRPr="006E4775">
        <w:rPr>
          <w:rFonts w:ascii="Garamond" w:hAnsi="Garamond"/>
        </w:rPr>
        <w:t>Página web:</w:t>
      </w:r>
      <w:r w:rsidR="00C73E8F" w:rsidRPr="006E4775">
        <w:rPr>
          <w:rFonts w:ascii="Garamond" w:hAnsi="Garamond"/>
          <w:color w:val="1155CC"/>
          <w:u w:val="single"/>
        </w:rPr>
        <w:t xml:space="preserve"> https://embajadahaiti.cl/web/</w:t>
      </w:r>
    </w:p>
    <w:p w14:paraId="0111412D" w14:textId="200C6AD3" w:rsidR="00A278BB" w:rsidRPr="006E4775" w:rsidRDefault="00A278BB" w:rsidP="00293B47">
      <w:pPr>
        <w:pStyle w:val="Prrafodelista"/>
        <w:numPr>
          <w:ilvl w:val="0"/>
          <w:numId w:val="9"/>
        </w:numPr>
        <w:spacing w:line="276" w:lineRule="auto"/>
        <w:jc w:val="both"/>
        <w:rPr>
          <w:rFonts w:ascii="Garamond" w:hAnsi="Garamond"/>
        </w:rPr>
      </w:pPr>
      <w:r w:rsidRPr="006E4775">
        <w:rPr>
          <w:rFonts w:ascii="Garamond" w:hAnsi="Garamond"/>
        </w:rPr>
        <w:t>Consulado:</w:t>
      </w:r>
      <w:r w:rsidR="00BA43B8" w:rsidRPr="006E4775">
        <w:rPr>
          <w:rFonts w:ascii="Garamond" w:hAnsi="Garamond"/>
        </w:rPr>
        <w:t xml:space="preserve"> </w:t>
      </w:r>
      <w:r w:rsidR="00DD6547" w:rsidRPr="006E4775">
        <w:rPr>
          <w:rFonts w:ascii="Garamond" w:hAnsi="Garamond"/>
        </w:rPr>
        <w:t xml:space="preserve">Canadá N° 273, Providencia, Santiago. </w:t>
      </w:r>
      <w:r w:rsidR="0085204E" w:rsidRPr="006E4775">
        <w:rPr>
          <w:rFonts w:ascii="Garamond" w:hAnsi="Garamond"/>
        </w:rPr>
        <w:t xml:space="preserve">Teléfonos: (56) 2 2231 3364/(56) 2 2231 1776. </w:t>
      </w:r>
      <w:r w:rsidR="00BA43B8" w:rsidRPr="006E4775">
        <w:rPr>
          <w:rFonts w:ascii="Garamond" w:hAnsi="Garamond"/>
        </w:rPr>
        <w:t xml:space="preserve"> Correo: </w:t>
      </w:r>
      <w:hyperlink r:id="rId37" w:history="1">
        <w:r w:rsidR="00BA43B8" w:rsidRPr="006E4775">
          <w:rPr>
            <w:rStyle w:val="Hipervnculo"/>
            <w:rFonts w:ascii="Garamond" w:hAnsi="Garamond"/>
            <w:bdr w:val="none" w:sz="0" w:space="0" w:color="auto" w:frame="1"/>
            <w:shd w:val="clear" w:color="auto" w:fill="FCFCFC"/>
          </w:rPr>
          <w:t>consulat@embajadahaiti.cl</w:t>
        </w:r>
      </w:hyperlink>
    </w:p>
    <w:p w14:paraId="7AC7AFD0" w14:textId="59B0BCAA" w:rsidR="00F90C13" w:rsidRPr="006E4775" w:rsidRDefault="00F90C13" w:rsidP="00293B47">
      <w:pPr>
        <w:spacing w:line="276" w:lineRule="auto"/>
        <w:jc w:val="both"/>
        <w:rPr>
          <w:rFonts w:ascii="Garamond" w:hAnsi="Garamond"/>
        </w:rPr>
      </w:pPr>
    </w:p>
    <w:p w14:paraId="6C42BA92" w14:textId="77777777" w:rsidR="00F90C13" w:rsidRPr="006E4775" w:rsidRDefault="00F90C13" w:rsidP="00293B47">
      <w:pPr>
        <w:spacing w:line="276" w:lineRule="auto"/>
        <w:jc w:val="both"/>
        <w:rPr>
          <w:rFonts w:ascii="Garamond" w:hAnsi="Garamond"/>
        </w:rPr>
      </w:pPr>
    </w:p>
    <w:p w14:paraId="00000161" w14:textId="77777777" w:rsidR="009C50EA" w:rsidRPr="006E4775" w:rsidRDefault="009C50EA" w:rsidP="00293B47">
      <w:pPr>
        <w:spacing w:line="276" w:lineRule="auto"/>
        <w:jc w:val="both"/>
        <w:rPr>
          <w:rFonts w:ascii="Garamond" w:hAnsi="Garamond"/>
        </w:rPr>
      </w:pPr>
    </w:p>
    <w:p w14:paraId="00000162" w14:textId="6CED275C" w:rsidR="009C50EA" w:rsidRPr="006E4775" w:rsidRDefault="009C50EA" w:rsidP="00293B47">
      <w:pPr>
        <w:spacing w:line="276" w:lineRule="auto"/>
        <w:jc w:val="both"/>
        <w:rPr>
          <w:rFonts w:ascii="Garamond" w:hAnsi="Garamond"/>
        </w:rPr>
      </w:pPr>
    </w:p>
    <w:p w14:paraId="00000163" w14:textId="77777777" w:rsidR="009C50EA" w:rsidRPr="006E4775" w:rsidRDefault="009C50EA" w:rsidP="00293B47">
      <w:pPr>
        <w:spacing w:line="276" w:lineRule="auto"/>
        <w:jc w:val="both"/>
        <w:rPr>
          <w:rFonts w:ascii="Garamond" w:hAnsi="Garamond"/>
        </w:rPr>
      </w:pPr>
    </w:p>
    <w:p w14:paraId="00000164" w14:textId="718AF8ED" w:rsidR="009C50EA" w:rsidRPr="006E4775" w:rsidRDefault="009C50EA" w:rsidP="00293B47">
      <w:pPr>
        <w:spacing w:line="276" w:lineRule="auto"/>
        <w:jc w:val="both"/>
        <w:rPr>
          <w:rFonts w:ascii="Garamond" w:hAnsi="Garamond"/>
        </w:rPr>
      </w:pPr>
    </w:p>
    <w:p w14:paraId="000001C8" w14:textId="0A6664A3" w:rsidR="009C50EA" w:rsidRPr="006E4775" w:rsidRDefault="00634B3D" w:rsidP="00820F66">
      <w:pPr>
        <w:pStyle w:val="Ttulo1"/>
      </w:pPr>
      <w:bookmarkStart w:id="34" w:name="_Toc108799444"/>
      <w:r w:rsidRPr="006E4775">
        <w:t>Referencias</w:t>
      </w:r>
      <w:bookmarkEnd w:id="34"/>
    </w:p>
    <w:p w14:paraId="000001C9"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rPr>
        <w:t xml:space="preserve">Abogados Sin Fronteras. (2014). Les </w:t>
      </w:r>
      <w:proofErr w:type="spellStart"/>
      <w:r w:rsidRPr="006E4775">
        <w:rPr>
          <w:rFonts w:ascii="Garamond" w:hAnsi="Garamond"/>
        </w:rPr>
        <w:t>mineurs</w:t>
      </w:r>
      <w:proofErr w:type="spellEnd"/>
      <w:r w:rsidRPr="006E4775">
        <w:rPr>
          <w:rFonts w:ascii="Garamond" w:hAnsi="Garamond"/>
        </w:rPr>
        <w:t xml:space="preserve"> en </w:t>
      </w:r>
      <w:proofErr w:type="spellStart"/>
      <w:r w:rsidRPr="006E4775">
        <w:rPr>
          <w:rFonts w:ascii="Garamond" w:hAnsi="Garamond"/>
        </w:rPr>
        <w:t>conflict</w:t>
      </w:r>
      <w:proofErr w:type="spellEnd"/>
      <w:r w:rsidRPr="006E4775">
        <w:rPr>
          <w:rFonts w:ascii="Garamond" w:hAnsi="Garamond"/>
        </w:rPr>
        <w:t xml:space="preserve"> </w:t>
      </w:r>
      <w:proofErr w:type="spellStart"/>
      <w:r w:rsidRPr="006E4775">
        <w:rPr>
          <w:rFonts w:ascii="Garamond" w:hAnsi="Garamond"/>
        </w:rPr>
        <w:t>avec</w:t>
      </w:r>
      <w:proofErr w:type="spellEnd"/>
      <w:r w:rsidRPr="006E4775">
        <w:rPr>
          <w:rFonts w:ascii="Garamond" w:hAnsi="Garamond"/>
        </w:rPr>
        <w:t xml:space="preserve"> la </w:t>
      </w:r>
      <w:proofErr w:type="spellStart"/>
      <w:r w:rsidRPr="006E4775">
        <w:rPr>
          <w:rFonts w:ascii="Garamond" w:hAnsi="Garamond"/>
        </w:rPr>
        <w:t>loi</w:t>
      </w:r>
      <w:proofErr w:type="spellEnd"/>
      <w:r w:rsidRPr="006E4775">
        <w:rPr>
          <w:rFonts w:ascii="Garamond" w:hAnsi="Garamond"/>
        </w:rPr>
        <w:t xml:space="preserve"> in </w:t>
      </w:r>
      <w:proofErr w:type="spellStart"/>
      <w:r w:rsidRPr="006E4775">
        <w:rPr>
          <w:rFonts w:ascii="Garamond" w:hAnsi="Garamond"/>
        </w:rPr>
        <w:t>Haïti</w:t>
      </w:r>
      <w:proofErr w:type="spellEnd"/>
      <w:r w:rsidRPr="006E4775">
        <w:rPr>
          <w:rFonts w:ascii="Garamond" w:hAnsi="Garamond"/>
        </w:rPr>
        <w:t xml:space="preserve">. </w:t>
      </w:r>
      <w:r w:rsidRPr="006E4775">
        <w:rPr>
          <w:rFonts w:ascii="Garamond" w:hAnsi="Garamond"/>
          <w:lang w:val="en-US"/>
        </w:rPr>
        <w:t xml:space="preserve">Guide a </w:t>
      </w:r>
      <w:proofErr w:type="spellStart"/>
      <w:r w:rsidRPr="006E4775">
        <w:rPr>
          <w:rFonts w:ascii="Garamond" w:hAnsi="Garamond"/>
          <w:lang w:val="en-US"/>
        </w:rPr>
        <w:t>l’intention</w:t>
      </w:r>
      <w:proofErr w:type="spellEnd"/>
      <w:r w:rsidRPr="006E4775">
        <w:rPr>
          <w:rFonts w:ascii="Garamond" w:hAnsi="Garamond"/>
          <w:lang w:val="en-US"/>
        </w:rPr>
        <w:t xml:space="preserve"> des </w:t>
      </w:r>
      <w:proofErr w:type="spellStart"/>
      <w:r w:rsidRPr="006E4775">
        <w:rPr>
          <w:rFonts w:ascii="Garamond" w:hAnsi="Garamond"/>
          <w:lang w:val="en-US"/>
        </w:rPr>
        <w:t>practiciens</w:t>
      </w:r>
      <w:proofErr w:type="spellEnd"/>
      <w:r w:rsidRPr="006E4775">
        <w:rPr>
          <w:rFonts w:ascii="Garamond" w:hAnsi="Garamond"/>
          <w:lang w:val="en-US"/>
        </w:rPr>
        <w:t xml:space="preserve"> du droit. </w:t>
      </w:r>
      <w:hyperlink r:id="rId38">
        <w:r w:rsidRPr="006E4775">
          <w:rPr>
            <w:rFonts w:ascii="Garamond" w:hAnsi="Garamond"/>
            <w:color w:val="1155CC"/>
            <w:u w:val="single"/>
            <w:lang w:val="en-US"/>
          </w:rPr>
          <w:t>https://www.asfcanada.ca/uploads/publications/uploaded_guide-justice-mineurs-nov-2015-pdf-100.pdf</w:t>
        </w:r>
      </w:hyperlink>
      <w:r w:rsidRPr="006E4775">
        <w:rPr>
          <w:rFonts w:ascii="Garamond" w:hAnsi="Garamond"/>
          <w:lang w:val="en-US"/>
        </w:rPr>
        <w:t xml:space="preserve"> </w:t>
      </w:r>
    </w:p>
    <w:p w14:paraId="000001CA"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Abusada, R. y Pastor, C. (2008). Migración en el Perú. Instituto Peruano de Economía. </w:t>
      </w:r>
      <w:hyperlink r:id="rId39">
        <w:r w:rsidRPr="006E4775">
          <w:rPr>
            <w:rFonts w:ascii="Garamond" w:hAnsi="Garamond"/>
            <w:color w:val="1155CC"/>
            <w:u w:val="single"/>
          </w:rPr>
          <w:t>http://ipe.org.pe/wp-content/uploads/2009/06/migracion-en-el-peru-ipe-0510109.pdf</w:t>
        </w:r>
      </w:hyperlink>
      <w:r w:rsidRPr="006E4775">
        <w:rPr>
          <w:rFonts w:ascii="Garamond" w:hAnsi="Garamond"/>
        </w:rPr>
        <w:t xml:space="preserve"> </w:t>
      </w:r>
    </w:p>
    <w:p w14:paraId="000001CB" w14:textId="7B2480B8" w:rsidR="009C50EA" w:rsidRDefault="00634B3D" w:rsidP="00293B47">
      <w:pPr>
        <w:spacing w:line="276" w:lineRule="auto"/>
        <w:ind w:left="720" w:hanging="720"/>
        <w:jc w:val="both"/>
        <w:rPr>
          <w:rFonts w:ascii="Garamond" w:hAnsi="Garamond"/>
        </w:rPr>
      </w:pPr>
      <w:proofErr w:type="spellStart"/>
      <w:r w:rsidRPr="006E4775">
        <w:rPr>
          <w:rFonts w:ascii="Garamond" w:hAnsi="Garamond"/>
        </w:rPr>
        <w:t>Argenti</w:t>
      </w:r>
      <w:proofErr w:type="spellEnd"/>
      <w:r w:rsidRPr="006E4775">
        <w:rPr>
          <w:rFonts w:ascii="Garamond" w:hAnsi="Garamond"/>
        </w:rPr>
        <w:t xml:space="preserve">, C. and </w:t>
      </w:r>
      <w:proofErr w:type="spellStart"/>
      <w:r w:rsidRPr="006E4775">
        <w:rPr>
          <w:rFonts w:ascii="Garamond" w:hAnsi="Garamond"/>
        </w:rPr>
        <w:t>Marocchino</w:t>
      </w:r>
      <w:proofErr w:type="spellEnd"/>
      <w:r w:rsidRPr="006E4775">
        <w:rPr>
          <w:rFonts w:ascii="Garamond" w:hAnsi="Garamond"/>
        </w:rPr>
        <w:t xml:space="preserve">, O. (2007) ‘Abastecimiento y distribución de alimentos en las ciudades’, </w:t>
      </w:r>
      <w:proofErr w:type="spellStart"/>
      <w:r w:rsidRPr="006E4775">
        <w:rPr>
          <w:rFonts w:ascii="Garamond" w:hAnsi="Garamond"/>
        </w:rPr>
        <w:t>Gestion</w:t>
      </w:r>
      <w:proofErr w:type="spellEnd"/>
      <w:r w:rsidRPr="006E4775">
        <w:rPr>
          <w:rFonts w:ascii="Garamond" w:hAnsi="Garamond"/>
        </w:rPr>
        <w:t xml:space="preserve">, </w:t>
      </w:r>
      <w:proofErr w:type="spellStart"/>
      <w:r w:rsidRPr="006E4775">
        <w:rPr>
          <w:rFonts w:ascii="Garamond" w:hAnsi="Garamond"/>
        </w:rPr>
        <w:t>Comercializacion</w:t>
      </w:r>
      <w:proofErr w:type="spellEnd"/>
      <w:r w:rsidRPr="006E4775">
        <w:rPr>
          <w:rFonts w:ascii="Garamond" w:hAnsi="Garamond"/>
        </w:rPr>
        <w:t xml:space="preserve"> y Finanzas </w:t>
      </w:r>
      <w:proofErr w:type="spellStart"/>
      <w:r w:rsidRPr="006E4775">
        <w:rPr>
          <w:rFonts w:ascii="Garamond" w:hAnsi="Garamond"/>
        </w:rPr>
        <w:t>Agricolas</w:t>
      </w:r>
      <w:proofErr w:type="spellEnd"/>
      <w:r w:rsidRPr="006E4775">
        <w:rPr>
          <w:rFonts w:ascii="Garamond" w:hAnsi="Garamond"/>
        </w:rPr>
        <w:t xml:space="preserve"> Documento Ocasional, pp. 27–30</w:t>
      </w:r>
    </w:p>
    <w:p w14:paraId="426B0DE0" w14:textId="2D1B096E" w:rsidR="00534738" w:rsidRPr="006E4775" w:rsidRDefault="00534738" w:rsidP="00293B47">
      <w:pPr>
        <w:spacing w:line="276" w:lineRule="auto"/>
        <w:ind w:left="720" w:hanging="720"/>
        <w:jc w:val="both"/>
        <w:rPr>
          <w:rFonts w:ascii="Garamond" w:hAnsi="Garamond"/>
        </w:rPr>
      </w:pPr>
      <w:r w:rsidRPr="00534738">
        <w:rPr>
          <w:rFonts w:ascii="Garamond" w:hAnsi="Garamond"/>
        </w:rPr>
        <w:t xml:space="preserve">Bajaña, L. (2020). Los factores sociodemográficos determinantes en el envío de remesas de migrantes venezolanos radicados en Guayaquil, sector formal </w:t>
      </w:r>
      <w:r>
        <w:rPr>
          <w:rFonts w:ascii="Garamond" w:hAnsi="Garamond"/>
        </w:rPr>
        <w:t>[Tesis de pregrado]</w:t>
      </w:r>
      <w:r w:rsidRPr="00534738">
        <w:rPr>
          <w:rFonts w:ascii="Garamond" w:hAnsi="Garamond"/>
        </w:rPr>
        <w:t>, Universidad Casa Grande</w:t>
      </w:r>
      <w:r>
        <w:rPr>
          <w:rFonts w:ascii="Garamond" w:hAnsi="Garamond"/>
        </w:rPr>
        <w:t>.</w:t>
      </w:r>
    </w:p>
    <w:p w14:paraId="000001CC"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Banco Mundial. (2021). Crecimiento del PIB (% anual). </w:t>
      </w:r>
      <w:hyperlink r:id="rId40">
        <w:r w:rsidRPr="006E4775">
          <w:rPr>
            <w:rFonts w:ascii="Garamond" w:hAnsi="Garamond"/>
            <w:color w:val="1155CC"/>
            <w:u w:val="single"/>
          </w:rPr>
          <w:t>https://datos.bancomundial.org/indicador/NY.GDP.MKTP.KD.ZG</w:t>
        </w:r>
      </w:hyperlink>
      <w:r w:rsidRPr="006E4775">
        <w:rPr>
          <w:rFonts w:ascii="Garamond" w:hAnsi="Garamond"/>
        </w:rPr>
        <w:t xml:space="preserve"> </w:t>
      </w:r>
    </w:p>
    <w:p w14:paraId="000001CD"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Banco Mundial. (2021). Población, total. </w:t>
      </w:r>
      <w:hyperlink r:id="rId41">
        <w:r w:rsidRPr="006E4775">
          <w:rPr>
            <w:rFonts w:ascii="Garamond" w:hAnsi="Garamond"/>
            <w:color w:val="1155CC"/>
            <w:u w:val="single"/>
          </w:rPr>
          <w:t>https://datos.bancomundial.org/indicador/SP.POP.TOTL</w:t>
        </w:r>
      </w:hyperlink>
      <w:r w:rsidRPr="006E4775">
        <w:rPr>
          <w:rFonts w:ascii="Garamond" w:hAnsi="Garamond"/>
        </w:rPr>
        <w:t xml:space="preserve">  </w:t>
      </w:r>
    </w:p>
    <w:p w14:paraId="000001CE"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lang w:val="en-US"/>
        </w:rPr>
        <w:t xml:space="preserve">Banco Mundial. (2020). Poverty headcount ratio at $5.50 a day (2011 PPP) (% of population). </w:t>
      </w:r>
      <w:hyperlink r:id="rId42">
        <w:r w:rsidRPr="006E4775">
          <w:rPr>
            <w:rFonts w:ascii="Garamond" w:hAnsi="Garamond"/>
            <w:color w:val="1155CC"/>
            <w:u w:val="single"/>
          </w:rPr>
          <w:t>https://datos.bancomundial.org/indicador/SI.POV.UMIC</w:t>
        </w:r>
      </w:hyperlink>
    </w:p>
    <w:p w14:paraId="000001CF" w14:textId="2582EAA4" w:rsidR="009C50EA" w:rsidRDefault="00634B3D" w:rsidP="00293B47">
      <w:pPr>
        <w:spacing w:line="276" w:lineRule="auto"/>
        <w:ind w:left="720" w:hanging="720"/>
        <w:jc w:val="both"/>
        <w:rPr>
          <w:rFonts w:ascii="Garamond" w:hAnsi="Garamond"/>
        </w:rPr>
      </w:pPr>
      <w:r w:rsidRPr="006E4775">
        <w:rPr>
          <w:rFonts w:ascii="Garamond" w:hAnsi="Garamond"/>
        </w:rPr>
        <w:t xml:space="preserve">Casas, K. </w:t>
      </w:r>
      <w:r w:rsidR="00534738">
        <w:rPr>
          <w:rFonts w:ascii="Garamond" w:hAnsi="Garamond"/>
        </w:rPr>
        <w:t xml:space="preserve">y </w:t>
      </w:r>
      <w:r w:rsidRPr="006E4775">
        <w:rPr>
          <w:rFonts w:ascii="Garamond" w:hAnsi="Garamond"/>
        </w:rPr>
        <w:t>Carter, M. (2017) ‘Más allá de los escándalos. El cambiante contexto de la corrupción en América Latina’, pp. 16–18</w:t>
      </w:r>
    </w:p>
    <w:p w14:paraId="654AE7E9" w14:textId="5FEBC8BD" w:rsidR="00534738" w:rsidRPr="006E4775" w:rsidRDefault="00534738" w:rsidP="00293B47">
      <w:pPr>
        <w:spacing w:line="276" w:lineRule="auto"/>
        <w:ind w:left="720" w:hanging="720"/>
        <w:jc w:val="both"/>
        <w:rPr>
          <w:rFonts w:ascii="Garamond" w:hAnsi="Garamond"/>
        </w:rPr>
      </w:pPr>
      <w:r w:rsidRPr="00534738">
        <w:rPr>
          <w:rFonts w:ascii="Garamond" w:hAnsi="Garamond"/>
        </w:rPr>
        <w:t xml:space="preserve">Castellanos, J., </w:t>
      </w:r>
      <w:r>
        <w:rPr>
          <w:rFonts w:ascii="Garamond" w:hAnsi="Garamond"/>
        </w:rPr>
        <w:t>y</w:t>
      </w:r>
      <w:r w:rsidRPr="00534738">
        <w:rPr>
          <w:rFonts w:ascii="Garamond" w:hAnsi="Garamond"/>
        </w:rPr>
        <w:t xml:space="preserve"> Goncalves, R. (2019). Efectos de las remesas sobre la pobreza en Venezuela para el año 2017</w:t>
      </w:r>
      <w:r>
        <w:rPr>
          <w:rFonts w:ascii="Garamond" w:hAnsi="Garamond"/>
        </w:rPr>
        <w:t xml:space="preserve"> [Tesis de pregrado]</w:t>
      </w:r>
      <w:r w:rsidRPr="00534738">
        <w:rPr>
          <w:rFonts w:ascii="Garamond" w:hAnsi="Garamond"/>
        </w:rPr>
        <w:t>.</w:t>
      </w:r>
      <w:r>
        <w:rPr>
          <w:rFonts w:ascii="Garamond" w:hAnsi="Garamond"/>
        </w:rPr>
        <w:t xml:space="preserve"> Universidad Católica Andrés Bello.</w:t>
      </w:r>
    </w:p>
    <w:p w14:paraId="000001D0"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Código de la Infancia y la Adolescencia. Ley 1098 de 2006. 8 de noviembre del 2006. (Colombia).</w:t>
      </w:r>
    </w:p>
    <w:p w14:paraId="000001D1"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Constitución Política de Colombia. (1991). Artículo 286. 4 de julio de 1991 (Colombia).</w:t>
      </w:r>
    </w:p>
    <w:p w14:paraId="000001D2"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Constitución Política del Perú. (1993). Artículo 48. 29 de diciembre de 1993. (Perú)</w:t>
      </w:r>
    </w:p>
    <w:p w14:paraId="000001D3"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CPI (2022). Perú: Población 2022. </w:t>
      </w:r>
      <w:hyperlink r:id="rId43">
        <w:r w:rsidRPr="006E4775">
          <w:rPr>
            <w:rFonts w:ascii="Garamond" w:hAnsi="Garamond"/>
            <w:color w:val="1155CC"/>
            <w:u w:val="single"/>
          </w:rPr>
          <w:t>https://cpi.pe/images/upload/paginaweb/archivo/23/poblacion%202022.pdf</w:t>
        </w:r>
      </w:hyperlink>
      <w:r w:rsidRPr="006E4775">
        <w:rPr>
          <w:rFonts w:ascii="Garamond" w:hAnsi="Garamond"/>
        </w:rPr>
        <w:t xml:space="preserve"> </w:t>
      </w:r>
    </w:p>
    <w:p w14:paraId="000001D4"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rPr>
        <w:t xml:space="preserve">DANE. (2019). Anuario de Movimientos Internacionales. </w:t>
      </w:r>
      <w:r w:rsidRPr="006E4775">
        <w:rPr>
          <w:rFonts w:ascii="Garamond" w:hAnsi="Garamond"/>
          <w:lang w:val="en-US"/>
        </w:rPr>
        <w:t xml:space="preserve">DANE. </w:t>
      </w:r>
      <w:hyperlink r:id="rId44">
        <w:r w:rsidRPr="006E4775">
          <w:rPr>
            <w:rFonts w:ascii="Garamond" w:hAnsi="Garamond"/>
            <w:color w:val="1155CC"/>
            <w:u w:val="single"/>
            <w:lang w:val="en-US"/>
          </w:rPr>
          <w:t>https://www.dane.gov.co/files/investigaciones/poblacion/migraciones/Anuario_2019_movimientos-internacionales.pdf</w:t>
        </w:r>
      </w:hyperlink>
      <w:r w:rsidRPr="006E4775">
        <w:rPr>
          <w:rFonts w:ascii="Garamond" w:hAnsi="Garamond"/>
          <w:lang w:val="en-US"/>
        </w:rPr>
        <w:t xml:space="preserve"> </w:t>
      </w:r>
    </w:p>
    <w:p w14:paraId="000001D5"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DatosMacro</w:t>
      </w:r>
      <w:proofErr w:type="spellEnd"/>
      <w:r w:rsidRPr="006E4775">
        <w:rPr>
          <w:rFonts w:ascii="Garamond" w:hAnsi="Garamond"/>
        </w:rPr>
        <w:t xml:space="preserve">. (2019a). Bolivia - Emigrantes totales. </w:t>
      </w:r>
      <w:hyperlink r:id="rId45">
        <w:r w:rsidRPr="006E4775">
          <w:rPr>
            <w:rFonts w:ascii="Garamond" w:hAnsi="Garamond"/>
            <w:color w:val="1155CC"/>
            <w:u w:val="single"/>
          </w:rPr>
          <w:t>https://datosmacro.expansion.com/demografia/migracion/emigracion/bolivia</w:t>
        </w:r>
      </w:hyperlink>
      <w:r w:rsidRPr="006E4775">
        <w:rPr>
          <w:rFonts w:ascii="Garamond" w:hAnsi="Garamond"/>
        </w:rPr>
        <w:t xml:space="preserve"> </w:t>
      </w:r>
    </w:p>
    <w:p w14:paraId="000001D6"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DatosMacro</w:t>
      </w:r>
      <w:proofErr w:type="spellEnd"/>
      <w:r w:rsidRPr="006E4775">
        <w:rPr>
          <w:rFonts w:ascii="Garamond" w:hAnsi="Garamond"/>
        </w:rPr>
        <w:t xml:space="preserve">. (2019b). </w:t>
      </w:r>
      <w:proofErr w:type="spellStart"/>
      <w:r w:rsidRPr="006E4775">
        <w:rPr>
          <w:rFonts w:ascii="Garamond" w:hAnsi="Garamond"/>
        </w:rPr>
        <w:t>Haiti</w:t>
      </w:r>
      <w:proofErr w:type="spellEnd"/>
      <w:r w:rsidRPr="006E4775">
        <w:rPr>
          <w:rFonts w:ascii="Garamond" w:hAnsi="Garamond"/>
        </w:rPr>
        <w:t xml:space="preserve"> - Emigrantes totales. </w:t>
      </w:r>
      <w:hyperlink r:id="rId46">
        <w:r w:rsidRPr="006E4775">
          <w:rPr>
            <w:rFonts w:ascii="Garamond" w:hAnsi="Garamond"/>
            <w:color w:val="1155CC"/>
            <w:u w:val="single"/>
          </w:rPr>
          <w:t>https://datosmacro.expansion.com/demografia/migracion/emigracion/haiti</w:t>
        </w:r>
      </w:hyperlink>
      <w:r w:rsidRPr="006E4775">
        <w:rPr>
          <w:rFonts w:ascii="Garamond" w:hAnsi="Garamond"/>
        </w:rPr>
        <w:t xml:space="preserve"> </w:t>
      </w:r>
    </w:p>
    <w:p w14:paraId="000001D7"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lastRenderedPageBreak/>
        <w:t>DatosMacro</w:t>
      </w:r>
      <w:proofErr w:type="spellEnd"/>
      <w:r w:rsidRPr="006E4775">
        <w:rPr>
          <w:rFonts w:ascii="Garamond" w:hAnsi="Garamond"/>
        </w:rPr>
        <w:t xml:space="preserve">. (2021). Venezuela - Pirámide de población. </w:t>
      </w:r>
      <w:hyperlink r:id="rId47">
        <w:r w:rsidRPr="006E4775">
          <w:rPr>
            <w:rFonts w:ascii="Garamond" w:hAnsi="Garamond"/>
            <w:color w:val="1155CC"/>
            <w:u w:val="single"/>
          </w:rPr>
          <w:t>https://datosmacro.expansion.com/demografia/estructura-poblacion/venezuela</w:t>
        </w:r>
      </w:hyperlink>
    </w:p>
    <w:p w14:paraId="000001D8"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Decreto Supremo 27443. Reglamento a la Ley N° 2026 Código del Niño, Niña y Adolescente. 8 de abril del 2004.  </w:t>
      </w:r>
    </w:p>
    <w:p w14:paraId="000001D9"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Defensoría del Pueblo. (2016). Diagnóstico defensorial: Medidas no privativas de libertad. Sistema penal de responsabilidad de adolescentes. </w:t>
      </w:r>
      <w:hyperlink r:id="rId48">
        <w:r w:rsidRPr="006E4775">
          <w:rPr>
            <w:rFonts w:ascii="Garamond" w:hAnsi="Garamond"/>
            <w:color w:val="1155CC"/>
            <w:u w:val="single"/>
          </w:rPr>
          <w:t>https://www.unicef.org/venezuela/media/541/file/Diagno%CC%81stico-Defensorial-medidas-No-privativas-de-libertad-Sistema-Penal-de-Responsabilidad-de-Adolescentes.pdf</w:t>
        </w:r>
      </w:hyperlink>
      <w:r w:rsidRPr="006E4775">
        <w:rPr>
          <w:rFonts w:ascii="Garamond" w:hAnsi="Garamond"/>
        </w:rPr>
        <w:t xml:space="preserve"> </w:t>
      </w:r>
    </w:p>
    <w:p w14:paraId="000001DA"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Embajada de Bolivia en Colombia. (19 de marzo del 2014). Organización territorial. </w:t>
      </w:r>
      <w:hyperlink r:id="rId49" w:anchor=":~:text=El%20Estado%20Plurinacional%20de%20Bolivia,de%20provincias%20y%201.430%20cantones">
        <w:r w:rsidRPr="006E4775">
          <w:rPr>
            <w:rFonts w:ascii="Garamond" w:hAnsi="Garamond"/>
            <w:color w:val="1155CC"/>
            <w:u w:val="single"/>
          </w:rPr>
          <w:t>https://embajadaboliviacolombia.org/organizacion-territorial/#:~:text=El%20Estado%20Plurinacional%20de%20Bolivia,de%20provincias%20y%201.430%20cantones</w:t>
        </w:r>
      </w:hyperlink>
      <w:r w:rsidRPr="006E4775">
        <w:rPr>
          <w:rFonts w:ascii="Garamond" w:hAnsi="Garamond"/>
        </w:rPr>
        <w:t xml:space="preserve"> </w:t>
      </w:r>
    </w:p>
    <w:p w14:paraId="000001DB"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Estado Peruano. (2021, 4 de mayo). Aprueban Política Nacional del Adolescente en Riesgo y Conflicto con la Ley Penal. Plataforma digital única del Estado Peruano. </w:t>
      </w:r>
      <w:hyperlink r:id="rId50">
        <w:r w:rsidRPr="006E4775">
          <w:rPr>
            <w:rFonts w:ascii="Garamond" w:hAnsi="Garamond"/>
            <w:color w:val="1155CC"/>
            <w:u w:val="single"/>
          </w:rPr>
          <w:t>https://www.gob.pe/institucion/minjus/noticias/491091-aprueban-politica-nacional-del-adolescente-en-riesgo-y-conflicto-con-la-ley-penal</w:t>
        </w:r>
      </w:hyperlink>
      <w:r w:rsidRPr="006E4775">
        <w:rPr>
          <w:rFonts w:ascii="Garamond" w:hAnsi="Garamond"/>
        </w:rPr>
        <w:t xml:space="preserve"> </w:t>
      </w:r>
    </w:p>
    <w:p w14:paraId="000001DC"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Estudios Complementarios ENI (2014). Características y Análisis de Salud de la Población de Origen Extranjero. Estudios Complementarios ENI. </w:t>
      </w:r>
      <w:hyperlink r:id="rId51">
        <w:r w:rsidRPr="006E4775">
          <w:rPr>
            <w:rFonts w:ascii="Garamond" w:hAnsi="Garamond"/>
            <w:color w:val="1155CC"/>
            <w:u w:val="single"/>
          </w:rPr>
          <w:t>https://dominicanrepublic.unfpa.org/sites/default/files/pub-pdf/AnalisisSaludPoblacionExtranjera.pdf</w:t>
        </w:r>
      </w:hyperlink>
      <w:r w:rsidRPr="006E4775">
        <w:rPr>
          <w:rFonts w:ascii="Garamond" w:hAnsi="Garamond"/>
        </w:rPr>
        <w:t xml:space="preserve"> </w:t>
      </w:r>
    </w:p>
    <w:p w14:paraId="000001DD"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Fernandez</w:t>
      </w:r>
      <w:proofErr w:type="spellEnd"/>
      <w:r w:rsidRPr="006E4775">
        <w:rPr>
          <w:rFonts w:ascii="Garamond" w:hAnsi="Garamond"/>
        </w:rPr>
        <w:t>, G. (2017). Rangos</w:t>
      </w:r>
      <w:r w:rsidRPr="006E4775">
        <w:rPr>
          <w:rFonts w:ascii="Garamond" w:hAnsi="Garamond"/>
        </w:rPr>
        <w:tab/>
        <w:t>etarios</w:t>
      </w:r>
      <w:r w:rsidRPr="006E4775">
        <w:rPr>
          <w:rFonts w:ascii="Garamond" w:hAnsi="Garamond"/>
        </w:rPr>
        <w:tab/>
        <w:t xml:space="preserve">de la imputabilidad penal en el derecho comparado. Biblioteca del Congreso Nacional de Chile </w:t>
      </w:r>
      <w:hyperlink r:id="rId52">
        <w:r w:rsidRPr="006E4775">
          <w:rPr>
            <w:rFonts w:ascii="Garamond" w:hAnsi="Garamond"/>
            <w:color w:val="1155CC"/>
            <w:u w:val="single"/>
          </w:rPr>
          <w:t>https://obtienearchivo.bcn.cl/obtienearchivo?id=repositorio/10221/24448/2/Edad_imputabilidad_juvenil_y_adulta_editado_edfinMP.pdf</w:t>
        </w:r>
      </w:hyperlink>
      <w:r w:rsidRPr="006E4775">
        <w:rPr>
          <w:rFonts w:ascii="Garamond" w:hAnsi="Garamond"/>
        </w:rPr>
        <w:t xml:space="preserve"> </w:t>
      </w:r>
    </w:p>
    <w:p w14:paraId="000001DE"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Freitez</w:t>
      </w:r>
      <w:proofErr w:type="spellEnd"/>
      <w:r w:rsidRPr="006E4775">
        <w:rPr>
          <w:rFonts w:ascii="Garamond" w:hAnsi="Garamond"/>
        </w:rPr>
        <w:t xml:space="preserve">, A., Viso, C. y Osorio, E. (2021). ¿Qué se sabe sobre la migración venezolana reciente? Sistematización de artículos publicados entre 2008 y 2020 (Serie de Documentos Número 1). </w:t>
      </w:r>
      <w:hyperlink r:id="rId53">
        <w:r w:rsidRPr="006E4775">
          <w:rPr>
            <w:rFonts w:ascii="Garamond" w:hAnsi="Garamond"/>
            <w:color w:val="1155CC"/>
            <w:u w:val="single"/>
          </w:rPr>
          <w:t>https://assets.website-files.com/5caccaedb32e39d3c7d6819e/60ca56b482e4657859f49d29_migracion-venezolana-sistematizacion-de-articulos_.pdf</w:t>
        </w:r>
      </w:hyperlink>
      <w:r w:rsidRPr="006E4775">
        <w:rPr>
          <w:rFonts w:ascii="Garamond" w:hAnsi="Garamond"/>
        </w:rPr>
        <w:t xml:space="preserve"> </w:t>
      </w:r>
    </w:p>
    <w:p w14:paraId="000001DF" w14:textId="63C514CE"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lang w:val="en-US"/>
        </w:rPr>
        <w:t>Gammage</w:t>
      </w:r>
      <w:proofErr w:type="spellEnd"/>
      <w:r w:rsidRPr="006E4775">
        <w:rPr>
          <w:rFonts w:ascii="Garamond" w:hAnsi="Garamond"/>
          <w:lang w:val="en-US"/>
        </w:rPr>
        <w:t>, S</w:t>
      </w:r>
      <w:r w:rsidR="00534738">
        <w:rPr>
          <w:rFonts w:ascii="Garamond" w:hAnsi="Garamond"/>
          <w:lang w:val="en-US"/>
        </w:rPr>
        <w:t xml:space="preserve">. </w:t>
      </w:r>
      <w:r w:rsidRPr="006E4775">
        <w:rPr>
          <w:rFonts w:ascii="Garamond" w:hAnsi="Garamond"/>
          <w:lang w:val="en-US"/>
        </w:rPr>
        <w:t xml:space="preserve">(2004). “Exercising Exit, Voice and Loyalty: A Gender Perspective on Transnationalism in Haiti”. </w:t>
      </w:r>
      <w:proofErr w:type="spellStart"/>
      <w:r w:rsidRPr="006E4775">
        <w:rPr>
          <w:rFonts w:ascii="Garamond" w:hAnsi="Garamond"/>
        </w:rPr>
        <w:t>Development</w:t>
      </w:r>
      <w:proofErr w:type="spellEnd"/>
      <w:r w:rsidRPr="006E4775">
        <w:rPr>
          <w:rFonts w:ascii="Garamond" w:hAnsi="Garamond"/>
        </w:rPr>
        <w:t xml:space="preserve"> and Change. 35(4), pp. 743-771.</w:t>
      </w:r>
    </w:p>
    <w:p w14:paraId="000001E0"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Gobierno de Colombia. (s.f.). ¿Cómo es la organización político-administrativa de Colombia? </w:t>
      </w:r>
      <w:hyperlink r:id="rId54">
        <w:r w:rsidRPr="006E4775">
          <w:rPr>
            <w:rFonts w:ascii="Garamond" w:hAnsi="Garamond"/>
            <w:color w:val="1155CC"/>
            <w:u w:val="single"/>
          </w:rPr>
          <w:t>https://www.colombia.co/pais-colombia/estructura-del-estado-colombiano/como-es-la-organizacion-politico-administrativa-de-colombia/</w:t>
        </w:r>
      </w:hyperlink>
      <w:r w:rsidRPr="006E4775">
        <w:rPr>
          <w:rFonts w:ascii="Garamond" w:hAnsi="Garamond"/>
        </w:rPr>
        <w:t xml:space="preserve"> </w:t>
      </w:r>
    </w:p>
    <w:p w14:paraId="000001E1"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Gómez, G., Astaiza, G., y Souza, M. (2008). Las migraciones forzadas por la violencia: el caso de Colombia. </w:t>
      </w:r>
      <w:proofErr w:type="spellStart"/>
      <w:r w:rsidRPr="006E4775">
        <w:rPr>
          <w:rFonts w:ascii="Garamond" w:hAnsi="Garamond"/>
        </w:rPr>
        <w:t>Ciência</w:t>
      </w:r>
      <w:proofErr w:type="spellEnd"/>
      <w:r w:rsidRPr="006E4775">
        <w:rPr>
          <w:rFonts w:ascii="Garamond" w:hAnsi="Garamond"/>
        </w:rPr>
        <w:t xml:space="preserve"> &amp; </w:t>
      </w:r>
      <w:proofErr w:type="spellStart"/>
      <w:r w:rsidRPr="006E4775">
        <w:rPr>
          <w:rFonts w:ascii="Garamond" w:hAnsi="Garamond"/>
        </w:rPr>
        <w:t>Saúde</w:t>
      </w:r>
      <w:proofErr w:type="spellEnd"/>
      <w:r w:rsidRPr="006E4775">
        <w:rPr>
          <w:rFonts w:ascii="Garamond" w:hAnsi="Garamond"/>
        </w:rPr>
        <w:t xml:space="preserve"> </w:t>
      </w:r>
      <w:proofErr w:type="spellStart"/>
      <w:r w:rsidRPr="006E4775">
        <w:rPr>
          <w:rFonts w:ascii="Garamond" w:hAnsi="Garamond"/>
        </w:rPr>
        <w:t>Coletiva</w:t>
      </w:r>
      <w:proofErr w:type="spellEnd"/>
      <w:r w:rsidRPr="006E4775">
        <w:rPr>
          <w:rFonts w:ascii="Garamond" w:hAnsi="Garamond"/>
        </w:rPr>
        <w:t>, 13, 1649-1660.</w:t>
      </w:r>
    </w:p>
    <w:p w14:paraId="000001E2"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González, A. (2013). Pobladores sitiados entre la violencia y la </w:t>
      </w:r>
      <w:proofErr w:type="spellStart"/>
      <w:r w:rsidRPr="006E4775">
        <w:rPr>
          <w:rFonts w:ascii="Garamond" w:hAnsi="Garamond"/>
        </w:rPr>
        <w:t>re-configuración</w:t>
      </w:r>
      <w:proofErr w:type="spellEnd"/>
      <w:r w:rsidRPr="006E4775">
        <w:rPr>
          <w:rFonts w:ascii="Garamond" w:hAnsi="Garamond"/>
        </w:rPr>
        <w:t xml:space="preserve"> territorial: migración transfronteriza Colombia-Ecuador. Si Somos Americanos, 13(1), 199-216.</w:t>
      </w:r>
    </w:p>
    <w:p w14:paraId="3C20A4C2" w14:textId="77777777" w:rsidR="00534738" w:rsidRDefault="00534738" w:rsidP="00293B47">
      <w:pPr>
        <w:spacing w:line="276" w:lineRule="auto"/>
        <w:ind w:left="720" w:hanging="720"/>
        <w:jc w:val="both"/>
        <w:rPr>
          <w:rFonts w:ascii="Garamond" w:hAnsi="Garamond"/>
        </w:rPr>
      </w:pPr>
    </w:p>
    <w:p w14:paraId="5AE2CE2F" w14:textId="77777777" w:rsidR="00534738" w:rsidRDefault="00534738" w:rsidP="00293B47">
      <w:pPr>
        <w:spacing w:line="276" w:lineRule="auto"/>
        <w:ind w:left="720" w:hanging="720"/>
        <w:jc w:val="both"/>
        <w:rPr>
          <w:rFonts w:ascii="Garamond" w:hAnsi="Garamond"/>
        </w:rPr>
      </w:pPr>
    </w:p>
    <w:p w14:paraId="000001E3" w14:textId="4B5D71C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Guaygua</w:t>
      </w:r>
      <w:proofErr w:type="spellEnd"/>
      <w:r w:rsidRPr="006E4775">
        <w:rPr>
          <w:rFonts w:ascii="Garamond" w:hAnsi="Garamond"/>
        </w:rPr>
        <w:t>, G., et al. (2010): La familia transnacional. Cambios en las relaciones sociales y familiares de migrantes de El Alto y La Paz a España, PIEB: La Paz</w:t>
      </w:r>
    </w:p>
    <w:p w14:paraId="000001E4"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Hinojosa, A. (2006). Bolivia </w:t>
      </w:r>
      <w:proofErr w:type="spellStart"/>
      <w:r w:rsidRPr="006E4775">
        <w:rPr>
          <w:rFonts w:ascii="Garamond" w:hAnsi="Garamond"/>
        </w:rPr>
        <w:t>for</w:t>
      </w:r>
      <w:proofErr w:type="spellEnd"/>
      <w:r w:rsidRPr="006E4775">
        <w:rPr>
          <w:rFonts w:ascii="Garamond" w:hAnsi="Garamond"/>
        </w:rPr>
        <w:t xml:space="preserve"> </w:t>
      </w:r>
      <w:proofErr w:type="spellStart"/>
      <w:r w:rsidRPr="006E4775">
        <w:rPr>
          <w:rFonts w:ascii="Garamond" w:hAnsi="Garamond"/>
        </w:rPr>
        <w:t>export</w:t>
      </w:r>
      <w:proofErr w:type="spellEnd"/>
      <w:r w:rsidRPr="006E4775">
        <w:rPr>
          <w:rFonts w:ascii="Garamond" w:hAnsi="Garamond"/>
        </w:rPr>
        <w:t>. Temas de debate, 6.</w:t>
      </w:r>
    </w:p>
    <w:p w14:paraId="000001E5"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Hirschman</w:t>
      </w:r>
      <w:proofErr w:type="spellEnd"/>
      <w:r w:rsidRPr="006E4775">
        <w:rPr>
          <w:rFonts w:ascii="Garamond" w:hAnsi="Garamond"/>
        </w:rPr>
        <w:t>, A. (1977): Salida, voz y lealtad. Respuestas la deterioro de empresas, organizaciones y estados, Fondo de Cultura Económica: México D.F</w:t>
      </w:r>
    </w:p>
    <w:p w14:paraId="000001E6"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INE. (12 de abril del 2014). 25% de la población en Bolivia son niños y niñas. Nota de Prensa. </w:t>
      </w:r>
      <w:hyperlink r:id="rId55">
        <w:r w:rsidRPr="006E4775">
          <w:rPr>
            <w:rFonts w:ascii="Garamond" w:hAnsi="Garamond"/>
            <w:color w:val="1155CC"/>
            <w:u w:val="single"/>
          </w:rPr>
          <w:t>http://censosbolivia.ine.gob.bo/webine/sites/default/files/archivos_adjuntos/NOTA%20DE%20PRENSA%20D%C3%8DA%20DEL%20NI%C3%91O.pdf</w:t>
        </w:r>
      </w:hyperlink>
      <w:r w:rsidRPr="006E4775">
        <w:rPr>
          <w:rFonts w:ascii="Garamond" w:hAnsi="Garamond"/>
        </w:rPr>
        <w:t xml:space="preserve"> </w:t>
      </w:r>
    </w:p>
    <w:p w14:paraId="000001E7"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INEI. (2016). Niveles y tendencias de la migración internacional peruana. </w:t>
      </w:r>
      <w:hyperlink r:id="rId56">
        <w:r w:rsidRPr="006E4775">
          <w:rPr>
            <w:rFonts w:ascii="Garamond" w:hAnsi="Garamond"/>
            <w:color w:val="1155CC"/>
            <w:u w:val="single"/>
          </w:rPr>
          <w:t>https://www.inei.gob.pe/media/MenuRecursivo/boletines/presntacion_migraciones.pdf</w:t>
        </w:r>
      </w:hyperlink>
      <w:r w:rsidRPr="006E4775">
        <w:rPr>
          <w:rFonts w:ascii="Garamond" w:hAnsi="Garamond"/>
        </w:rPr>
        <w:t xml:space="preserve"> </w:t>
      </w:r>
    </w:p>
    <w:p w14:paraId="000001E8"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INEI. (2019). División Administrativa al 31 de diciembre del 2019. </w:t>
      </w:r>
      <w:hyperlink r:id="rId57">
        <w:r w:rsidRPr="006E4775">
          <w:rPr>
            <w:rFonts w:ascii="Garamond" w:hAnsi="Garamond"/>
            <w:color w:val="1155CC"/>
            <w:u w:val="single"/>
          </w:rPr>
          <w:t>https://www.inei.gob.pe/media/MenuRecursivo/publicaciones_digitales/Est/Lib1715/cap02.pdf</w:t>
        </w:r>
      </w:hyperlink>
      <w:r w:rsidRPr="006E4775">
        <w:rPr>
          <w:rFonts w:ascii="Garamond" w:hAnsi="Garamond"/>
        </w:rPr>
        <w:t xml:space="preserve"> </w:t>
      </w:r>
    </w:p>
    <w:p w14:paraId="000001E9"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INEI. (2020). Perú: Estadísticas de la Emigración Internacional y la Inmigración Extranjera. </w:t>
      </w:r>
      <w:hyperlink r:id="rId58">
        <w:r w:rsidRPr="006E4775">
          <w:rPr>
            <w:rFonts w:ascii="Garamond" w:hAnsi="Garamond"/>
            <w:color w:val="1155CC"/>
            <w:u w:val="single"/>
          </w:rPr>
          <w:t>https://www.inei.gob.pe/media/MenuRecursivo/publicaciones_digitales/Est/Lib1749/libro.pdf</w:t>
        </w:r>
      </w:hyperlink>
      <w:r w:rsidRPr="006E4775">
        <w:rPr>
          <w:rFonts w:ascii="Garamond" w:hAnsi="Garamond"/>
        </w:rPr>
        <w:t xml:space="preserve"> </w:t>
      </w:r>
    </w:p>
    <w:p w14:paraId="000001EA"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Instituto de </w:t>
      </w:r>
      <w:proofErr w:type="spellStart"/>
      <w:r w:rsidRPr="006E4775">
        <w:rPr>
          <w:rFonts w:ascii="Garamond" w:hAnsi="Garamond"/>
        </w:rPr>
        <w:t>Investigação</w:t>
      </w:r>
      <w:proofErr w:type="spellEnd"/>
      <w:r w:rsidRPr="006E4775">
        <w:rPr>
          <w:rFonts w:ascii="Garamond" w:hAnsi="Garamond"/>
        </w:rPr>
        <w:t xml:space="preserve"> e </w:t>
      </w:r>
      <w:proofErr w:type="spellStart"/>
      <w:r w:rsidRPr="006E4775">
        <w:rPr>
          <w:rFonts w:ascii="Garamond" w:hAnsi="Garamond"/>
        </w:rPr>
        <w:t>Desenvolvimento</w:t>
      </w:r>
      <w:proofErr w:type="spellEnd"/>
      <w:r w:rsidRPr="006E4775">
        <w:rPr>
          <w:rFonts w:ascii="Garamond" w:hAnsi="Garamond"/>
        </w:rPr>
        <w:t xml:space="preserve"> em Política </w:t>
      </w:r>
      <w:proofErr w:type="spellStart"/>
      <w:r w:rsidRPr="006E4775">
        <w:rPr>
          <w:rFonts w:ascii="Garamond" w:hAnsi="Garamond"/>
        </w:rPr>
        <w:t>Linguística</w:t>
      </w:r>
      <w:proofErr w:type="spellEnd"/>
      <w:r w:rsidRPr="006E4775">
        <w:rPr>
          <w:rFonts w:ascii="Garamond" w:hAnsi="Garamond"/>
        </w:rPr>
        <w:t>. (2019, 7 de junio).</w:t>
      </w:r>
      <w:r w:rsidRPr="006E4775">
        <w:rPr>
          <w:rFonts w:ascii="Garamond" w:hAnsi="Garamond"/>
          <w:i/>
        </w:rPr>
        <w:t xml:space="preserve"> Lenguas originarias de Perú: Todo lo que debes saber. </w:t>
      </w:r>
      <w:hyperlink r:id="rId59">
        <w:r w:rsidRPr="006E4775">
          <w:rPr>
            <w:rFonts w:ascii="Garamond" w:hAnsi="Garamond"/>
            <w:color w:val="1155CC"/>
            <w:u w:val="single"/>
          </w:rPr>
          <w:t>http://ipol.org.br/lenguas-originarias-de-peru-todo-lo-que-debes-saber/</w:t>
        </w:r>
      </w:hyperlink>
      <w:r w:rsidRPr="006E4775">
        <w:rPr>
          <w:rFonts w:ascii="Garamond" w:hAnsi="Garamond"/>
        </w:rPr>
        <w:t xml:space="preserve"> </w:t>
      </w:r>
    </w:p>
    <w:p w14:paraId="000001EB"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Larotta</w:t>
      </w:r>
      <w:proofErr w:type="spellEnd"/>
      <w:r w:rsidRPr="006E4775">
        <w:rPr>
          <w:rFonts w:ascii="Garamond" w:hAnsi="Garamond"/>
        </w:rPr>
        <w:t>, S. (2019). Determinantes para la migración internacional de colombianos entre 1990-2015 a partir de un modelo gravitacional. territorios, (41), 69-100.</w:t>
      </w:r>
    </w:p>
    <w:p w14:paraId="000001EC"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Ley 136-03. Ley 136-03, que declara el  Código para el Sistema de Protección y Derechos Fundamentales de Niños, Niñas y Adolescentes. Separata. 7 de agosto del 2003. </w:t>
      </w:r>
    </w:p>
    <w:p w14:paraId="000001ED"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Ley 5136. Ley 5136/1912, que declara idioma oficial de la República, la lengua castellana, Gaceta Oficial. 18 de julio de 1912. </w:t>
      </w:r>
    </w:p>
    <w:p w14:paraId="000001EE"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Ley 5859. Ley Orgánica para la Protección de Niños, Niñas y Adolescentes (LOPNNA) - G.O. N° 5.859. Ley Orgánica para la Protección de Niños, Niñas y Adolescentes. Diario La Gaceta. 10 de diciembre del 2007.</w:t>
      </w:r>
    </w:p>
    <w:p w14:paraId="000001EF"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Ley 27337. Ley que crea la comisión especial revisora del código de los niños y adolescentes. Diario oficial El Peruano. 21 de julio del 2000. </w:t>
      </w:r>
      <w:hyperlink r:id="rId60">
        <w:r w:rsidRPr="006E4775">
          <w:rPr>
            <w:rFonts w:ascii="Garamond" w:hAnsi="Garamond"/>
            <w:color w:val="1155CC"/>
            <w:u w:val="single"/>
          </w:rPr>
          <w:t>https://img.lpderecho.pe/wp-content/uploads/2020/03/C%C3%B3digo-de-los-Ni%C3%B1os-y-Adolescentes-LP.pdf</w:t>
        </w:r>
      </w:hyperlink>
      <w:r w:rsidRPr="006E4775">
        <w:rPr>
          <w:rFonts w:ascii="Garamond" w:hAnsi="Garamond"/>
        </w:rPr>
        <w:t xml:space="preserve"> </w:t>
      </w:r>
    </w:p>
    <w:p w14:paraId="000001F0"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lang w:val="en-US"/>
        </w:rPr>
        <w:t>Mazzeo</w:t>
      </w:r>
      <w:proofErr w:type="spellEnd"/>
      <w:r w:rsidRPr="006E4775">
        <w:rPr>
          <w:rFonts w:ascii="Garamond" w:hAnsi="Garamond"/>
          <w:lang w:val="en-US"/>
        </w:rPr>
        <w:t xml:space="preserve">, John (2009). Haiti’s vulnerability to the global food crisis. </w:t>
      </w:r>
      <w:r w:rsidRPr="006E4775">
        <w:rPr>
          <w:rFonts w:ascii="Garamond" w:hAnsi="Garamond"/>
        </w:rPr>
        <w:t xml:space="preserve">NAPA </w:t>
      </w:r>
      <w:proofErr w:type="spellStart"/>
      <w:r w:rsidRPr="006E4775">
        <w:rPr>
          <w:rFonts w:ascii="Garamond" w:hAnsi="Garamond"/>
        </w:rPr>
        <w:t>bulletin</w:t>
      </w:r>
      <w:proofErr w:type="spellEnd"/>
      <w:r w:rsidRPr="006E4775">
        <w:rPr>
          <w:rFonts w:ascii="Garamond" w:hAnsi="Garamond"/>
        </w:rPr>
        <w:t>, 32, pp. 115-129.</w:t>
      </w:r>
    </w:p>
    <w:p w14:paraId="000001F1" w14:textId="56FF30B2" w:rsidR="009C50EA" w:rsidRDefault="00634B3D" w:rsidP="00293B47">
      <w:pPr>
        <w:spacing w:line="276" w:lineRule="auto"/>
        <w:ind w:left="720" w:hanging="720"/>
        <w:jc w:val="both"/>
        <w:rPr>
          <w:rFonts w:ascii="Garamond" w:hAnsi="Garamond"/>
        </w:rPr>
      </w:pPr>
      <w:proofErr w:type="spellStart"/>
      <w:r w:rsidRPr="006E4775">
        <w:rPr>
          <w:rFonts w:ascii="Garamond" w:hAnsi="Garamond"/>
        </w:rPr>
        <w:t>Martinez</w:t>
      </w:r>
      <w:proofErr w:type="spellEnd"/>
      <w:r w:rsidRPr="006E4775">
        <w:rPr>
          <w:rFonts w:ascii="Garamond" w:hAnsi="Garamond"/>
        </w:rPr>
        <w:t xml:space="preserve">, J. (2011). Migración internacional en América Latina y el Caribe: Nuevas tendencias, nuevos enfoques. Editorial CEPAL. </w:t>
      </w:r>
      <w:hyperlink r:id="rId61">
        <w:r w:rsidRPr="006E4775">
          <w:rPr>
            <w:rFonts w:ascii="Garamond" w:hAnsi="Garamond"/>
            <w:color w:val="1155CC"/>
            <w:u w:val="single"/>
          </w:rPr>
          <w:t>https://repositorio.cepal.org/bitstream/handle/11362/35288/S1100998_es.pdf</w:t>
        </w:r>
      </w:hyperlink>
      <w:r w:rsidRPr="006E4775">
        <w:rPr>
          <w:rFonts w:ascii="Garamond" w:hAnsi="Garamond"/>
        </w:rPr>
        <w:t xml:space="preserve"> </w:t>
      </w:r>
    </w:p>
    <w:p w14:paraId="6A2E3DD8" w14:textId="77777777" w:rsidR="00534738" w:rsidRDefault="00534738" w:rsidP="00534738">
      <w:pPr>
        <w:spacing w:line="276" w:lineRule="auto"/>
        <w:ind w:left="1440" w:hanging="1440"/>
        <w:jc w:val="both"/>
        <w:rPr>
          <w:rFonts w:ascii="Garamond" w:hAnsi="Garamond"/>
        </w:rPr>
      </w:pPr>
    </w:p>
    <w:p w14:paraId="16FC0DCF" w14:textId="4A0CDAAF" w:rsidR="00534738" w:rsidRPr="006E4775" w:rsidRDefault="00534738" w:rsidP="00534738">
      <w:pPr>
        <w:spacing w:line="276" w:lineRule="auto"/>
        <w:ind w:left="1440" w:hanging="1440"/>
        <w:jc w:val="both"/>
        <w:rPr>
          <w:rFonts w:ascii="Garamond" w:hAnsi="Garamond"/>
        </w:rPr>
      </w:pPr>
      <w:r w:rsidRPr="00534738">
        <w:rPr>
          <w:rFonts w:ascii="Garamond" w:hAnsi="Garamond"/>
        </w:rPr>
        <w:t>Meneses, M. (2012). La migración internacional de peruanos a Europa. Investigaciones sociales, 16(29), 285-290.</w:t>
      </w:r>
    </w:p>
    <w:p w14:paraId="000001F2"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Mejía, W. (2012). Colombia y las migraciones internacionales: evolución reciente y panorama actual a partir de las cifras. REMHU: Revista Interdisciplinar da </w:t>
      </w:r>
      <w:proofErr w:type="spellStart"/>
      <w:r w:rsidRPr="006E4775">
        <w:rPr>
          <w:rFonts w:ascii="Garamond" w:hAnsi="Garamond"/>
        </w:rPr>
        <w:t>Mobilidade</w:t>
      </w:r>
      <w:proofErr w:type="spellEnd"/>
      <w:r w:rsidRPr="006E4775">
        <w:rPr>
          <w:rFonts w:ascii="Garamond" w:hAnsi="Garamond"/>
        </w:rPr>
        <w:t xml:space="preserve"> Humana, 20, 185-210.</w:t>
      </w:r>
    </w:p>
    <w:p w14:paraId="000001F3"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 xml:space="preserve">Ministerio de asuntos exteriores unión europea y cooperación. (2017). Ficha País: Venezuela. República Bolivariana de Venezuela. Oficina de Información Diplomática. </w:t>
      </w:r>
      <w:hyperlink r:id="rId62">
        <w:r w:rsidRPr="006E4775">
          <w:rPr>
            <w:rFonts w:ascii="Garamond" w:hAnsi="Garamond"/>
            <w:color w:val="1155CC"/>
            <w:u w:val="single"/>
          </w:rPr>
          <w:t>http://www.observatoriorli.com/docs/VENEZUELA/FICHA_PAIS_Venezuela.pdf</w:t>
        </w:r>
      </w:hyperlink>
      <w:r w:rsidRPr="006E4775">
        <w:rPr>
          <w:rFonts w:ascii="Garamond" w:hAnsi="Garamond"/>
        </w:rPr>
        <w:t xml:space="preserve"> </w:t>
      </w:r>
    </w:p>
    <w:p w14:paraId="000001F4" w14:textId="77777777" w:rsidR="009C50EA" w:rsidRPr="006E4775" w:rsidRDefault="009C50EA" w:rsidP="00293B47">
      <w:pPr>
        <w:spacing w:after="0" w:line="276" w:lineRule="auto"/>
        <w:ind w:left="720" w:hanging="720"/>
        <w:jc w:val="both"/>
        <w:rPr>
          <w:rFonts w:ascii="Garamond" w:hAnsi="Garamond"/>
        </w:rPr>
      </w:pPr>
    </w:p>
    <w:p w14:paraId="000001F5"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 xml:space="preserve">Ministerio de asuntos exteriores unión europea y cooperación. (2022a). Ficha País: Colombia. República de Colombia. Oficina de Información Diplomática. </w:t>
      </w:r>
      <w:hyperlink r:id="rId63">
        <w:r w:rsidRPr="006E4775">
          <w:rPr>
            <w:rFonts w:ascii="Garamond" w:hAnsi="Garamond"/>
            <w:color w:val="1155CC"/>
            <w:u w:val="single"/>
          </w:rPr>
          <w:t>http://www.exteriores.gob.es/Documents/FichasPais/COLOMBIA_FICHA%20PAIS.pdf</w:t>
        </w:r>
      </w:hyperlink>
      <w:r w:rsidRPr="006E4775">
        <w:rPr>
          <w:rFonts w:ascii="Garamond" w:hAnsi="Garamond"/>
        </w:rPr>
        <w:t xml:space="preserve"> </w:t>
      </w:r>
    </w:p>
    <w:p w14:paraId="000001F6" w14:textId="77777777" w:rsidR="009C50EA" w:rsidRPr="006E4775" w:rsidRDefault="009C50EA" w:rsidP="00293B47">
      <w:pPr>
        <w:spacing w:after="0" w:line="276" w:lineRule="auto"/>
        <w:ind w:left="720" w:hanging="720"/>
        <w:jc w:val="both"/>
        <w:rPr>
          <w:rFonts w:ascii="Garamond" w:hAnsi="Garamond"/>
        </w:rPr>
      </w:pPr>
    </w:p>
    <w:p w14:paraId="000001F7"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 xml:space="preserve">Ministerio de asuntos exteriores unión europea y cooperación. (2022b). Ficha País: Haití República de Haití. Oficina de Información Diplomática. </w:t>
      </w:r>
      <w:hyperlink r:id="rId64">
        <w:r w:rsidRPr="006E4775">
          <w:rPr>
            <w:rFonts w:ascii="Garamond" w:hAnsi="Garamond"/>
            <w:color w:val="1155CC"/>
            <w:u w:val="single"/>
          </w:rPr>
          <w:t>https://www.exteriores.gob.es/Documents/FichasPais/HAITI_FICHA%20PAIS.pdf</w:t>
        </w:r>
      </w:hyperlink>
      <w:r w:rsidRPr="006E4775">
        <w:rPr>
          <w:rFonts w:ascii="Garamond" w:hAnsi="Garamond"/>
        </w:rPr>
        <w:t xml:space="preserve">  </w:t>
      </w:r>
    </w:p>
    <w:p w14:paraId="000001F8" w14:textId="77777777" w:rsidR="009C50EA" w:rsidRPr="006E4775" w:rsidRDefault="009C50EA" w:rsidP="00293B47">
      <w:pPr>
        <w:spacing w:after="0" w:line="276" w:lineRule="auto"/>
        <w:ind w:left="720" w:hanging="720"/>
        <w:jc w:val="both"/>
        <w:rPr>
          <w:rFonts w:ascii="Garamond" w:hAnsi="Garamond"/>
        </w:rPr>
      </w:pPr>
    </w:p>
    <w:p w14:paraId="000001F9" w14:textId="77777777" w:rsidR="009C50EA" w:rsidRPr="006E4775" w:rsidRDefault="009C50EA" w:rsidP="00293B47">
      <w:pPr>
        <w:spacing w:after="0" w:line="276" w:lineRule="auto"/>
        <w:ind w:left="720" w:hanging="720"/>
        <w:jc w:val="both"/>
        <w:rPr>
          <w:rFonts w:ascii="Garamond" w:hAnsi="Garamond"/>
        </w:rPr>
      </w:pPr>
    </w:p>
    <w:p w14:paraId="000001FA"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 xml:space="preserve">Ministerio de Comunicación. (2016). </w:t>
      </w:r>
      <w:proofErr w:type="gramStart"/>
      <w:r w:rsidRPr="006E4775">
        <w:rPr>
          <w:rFonts w:ascii="Garamond" w:hAnsi="Garamond"/>
        </w:rPr>
        <w:t>Dale</w:t>
      </w:r>
      <w:proofErr w:type="gramEnd"/>
      <w:r w:rsidRPr="006E4775">
        <w:rPr>
          <w:rFonts w:ascii="Garamond" w:hAnsi="Garamond"/>
        </w:rPr>
        <w:t xml:space="preserve"> vida a tus derechos: Ley Código Niña, Niño y Adolescente. Decreto Supremo 2377. </w:t>
      </w:r>
      <w:hyperlink r:id="rId65">
        <w:r w:rsidRPr="006E4775">
          <w:rPr>
            <w:rFonts w:ascii="Garamond" w:hAnsi="Garamond"/>
            <w:color w:val="1155CC"/>
            <w:u w:val="single"/>
          </w:rPr>
          <w:t>http://catolicasbolivia.org/wp-content/uploads/2015/09/Ley-548-C%C3%B3digo-Ni%C3%B1o-Ni%C3%B1a-y-Adolescente.pdf</w:t>
        </w:r>
      </w:hyperlink>
      <w:r w:rsidRPr="006E4775">
        <w:rPr>
          <w:rFonts w:ascii="Garamond" w:hAnsi="Garamond"/>
        </w:rPr>
        <w:t xml:space="preserve"> </w:t>
      </w:r>
    </w:p>
    <w:p w14:paraId="000001FB" w14:textId="77777777" w:rsidR="009C50EA" w:rsidRPr="006E4775" w:rsidRDefault="009C50EA" w:rsidP="00293B47">
      <w:pPr>
        <w:spacing w:after="0" w:line="276" w:lineRule="auto"/>
        <w:ind w:left="720" w:hanging="720"/>
        <w:jc w:val="both"/>
        <w:rPr>
          <w:rFonts w:ascii="Garamond" w:hAnsi="Garamond"/>
        </w:rPr>
      </w:pPr>
    </w:p>
    <w:p w14:paraId="000001FC"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 xml:space="preserve">Morales J. C., y Morales, L.(2016). Colombia y la situación de los desplazados y refugiados: consideraciones </w:t>
      </w:r>
      <w:proofErr w:type="gramStart"/>
      <w:r w:rsidRPr="006E4775">
        <w:rPr>
          <w:rFonts w:ascii="Garamond" w:hAnsi="Garamond"/>
        </w:rPr>
        <w:t>teórico jurídicas</w:t>
      </w:r>
      <w:proofErr w:type="gramEnd"/>
      <w:r w:rsidRPr="006E4775">
        <w:rPr>
          <w:rFonts w:ascii="Garamond" w:hAnsi="Garamond"/>
        </w:rPr>
        <w:t>. Aldea Mundo, 21(42), 19-32.</w:t>
      </w:r>
    </w:p>
    <w:p w14:paraId="000001FD" w14:textId="77777777" w:rsidR="009C50EA" w:rsidRPr="006E4775" w:rsidRDefault="009C50EA" w:rsidP="00293B47">
      <w:pPr>
        <w:spacing w:after="0" w:line="276" w:lineRule="auto"/>
        <w:ind w:left="720" w:hanging="720"/>
        <w:jc w:val="both"/>
        <w:rPr>
          <w:rFonts w:ascii="Garamond" w:hAnsi="Garamond"/>
        </w:rPr>
      </w:pPr>
    </w:p>
    <w:p w14:paraId="000001FE"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Navarrete, B. (2015). Factores explicativos de una oleada migratoria. El caso de Haití. Revista de Ciencias Sociales (Ve), 21(1), 97-107.</w:t>
      </w:r>
    </w:p>
    <w:p w14:paraId="000001FF" w14:textId="77777777" w:rsidR="009C50EA" w:rsidRPr="006E4775" w:rsidRDefault="009C50EA" w:rsidP="00293B47">
      <w:pPr>
        <w:spacing w:after="0" w:line="276" w:lineRule="auto"/>
        <w:ind w:left="720" w:hanging="720"/>
        <w:jc w:val="both"/>
        <w:rPr>
          <w:rFonts w:ascii="Garamond" w:hAnsi="Garamond"/>
        </w:rPr>
      </w:pPr>
    </w:p>
    <w:p w14:paraId="00000200"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 xml:space="preserve">Niño, J. (1999). Las migraciones forzadas de población, por la violencia, en Colombia: una historia de éxodos, miedo, terror y pobreza. </w:t>
      </w:r>
      <w:proofErr w:type="spellStart"/>
      <w:r w:rsidRPr="006E4775">
        <w:rPr>
          <w:rFonts w:ascii="Garamond" w:hAnsi="Garamond"/>
        </w:rPr>
        <w:t>Scripta</w:t>
      </w:r>
      <w:proofErr w:type="spellEnd"/>
      <w:r w:rsidRPr="006E4775">
        <w:rPr>
          <w:rFonts w:ascii="Garamond" w:hAnsi="Garamond"/>
        </w:rPr>
        <w:t xml:space="preserve"> Nova. Revista Electrónica de Geografía y Ciencias Sociales, 3.</w:t>
      </w:r>
    </w:p>
    <w:p w14:paraId="00000201" w14:textId="77777777" w:rsidR="009C50EA" w:rsidRPr="006E4775" w:rsidRDefault="009C50EA" w:rsidP="00293B47">
      <w:pPr>
        <w:spacing w:after="0" w:line="276" w:lineRule="auto"/>
        <w:ind w:left="720" w:hanging="720"/>
        <w:jc w:val="both"/>
        <w:rPr>
          <w:rFonts w:ascii="Garamond" w:hAnsi="Garamond"/>
        </w:rPr>
      </w:pPr>
    </w:p>
    <w:p w14:paraId="00000202" w14:textId="77777777" w:rsidR="009C50EA" w:rsidRPr="006E4775" w:rsidRDefault="00634B3D" w:rsidP="00293B47">
      <w:pPr>
        <w:spacing w:line="276" w:lineRule="auto"/>
        <w:ind w:left="720" w:hanging="720"/>
        <w:jc w:val="both"/>
        <w:rPr>
          <w:rFonts w:ascii="Garamond" w:hAnsi="Garamond"/>
        </w:rPr>
      </w:pPr>
      <w:proofErr w:type="spellStart"/>
      <w:r w:rsidRPr="006E4775">
        <w:rPr>
          <w:rFonts w:ascii="Garamond" w:hAnsi="Garamond"/>
        </w:rPr>
        <w:t>Nuñez</w:t>
      </w:r>
      <w:proofErr w:type="spellEnd"/>
      <w:r w:rsidRPr="006E4775">
        <w:rPr>
          <w:rFonts w:ascii="Garamond" w:hAnsi="Garamond"/>
        </w:rPr>
        <w:t xml:space="preserve">, I. y Pichardo, Y. (2016). El Estudio de la Criminología Juvenil en la República Dominicana [Tesis para optar al grado de Licenciado en Derecho]. Universidad Pedro </w:t>
      </w:r>
      <w:proofErr w:type="spellStart"/>
      <w:r w:rsidRPr="006E4775">
        <w:rPr>
          <w:rFonts w:ascii="Garamond" w:hAnsi="Garamond"/>
        </w:rPr>
        <w:t>Henriquez</w:t>
      </w:r>
      <w:proofErr w:type="spellEnd"/>
      <w:r w:rsidRPr="006E4775">
        <w:rPr>
          <w:rFonts w:ascii="Garamond" w:hAnsi="Garamond"/>
        </w:rPr>
        <w:t xml:space="preserve"> Ureña. </w:t>
      </w:r>
      <w:hyperlink r:id="rId66">
        <w:r w:rsidRPr="006E4775">
          <w:rPr>
            <w:rFonts w:ascii="Garamond" w:hAnsi="Garamond"/>
            <w:color w:val="1155CC"/>
            <w:u w:val="single"/>
          </w:rPr>
          <w:t>https://repositorio.unphu.edu.do/bitstream/handle/123456789/991/El%20estudio%20de%20la%20criminologi%CC%81a%20juvenil%20en%20la%20Repu%CC%81blica%20Dominicana.pdf?sequence=1&amp;isAllowed=y</w:t>
        </w:r>
      </w:hyperlink>
      <w:r w:rsidRPr="006E4775">
        <w:rPr>
          <w:rFonts w:ascii="Garamond" w:hAnsi="Garamond"/>
        </w:rPr>
        <w:t xml:space="preserve"> </w:t>
      </w:r>
    </w:p>
    <w:p w14:paraId="00000203"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Observatorio de Igualdad de Género de América Latina y el Caribe, (s. f.). Venezuela - Sistema político electoral. </w:t>
      </w:r>
      <w:hyperlink r:id="rId67" w:anchor=":~:text=Venezuela%20es%20un%20Estado%20federal,que%20se%20dividen%20en%20parroquias">
        <w:r w:rsidRPr="006E4775">
          <w:rPr>
            <w:rFonts w:ascii="Garamond" w:hAnsi="Garamond"/>
            <w:color w:val="1155CC"/>
            <w:u w:val="single"/>
          </w:rPr>
          <w:t>https://oig.cepal.org/es/paises/23/system#:~:text=Venezuela%20es%20un%20Estado%20federal,que%20se%20dividen%20en%20parroquias</w:t>
        </w:r>
      </w:hyperlink>
      <w:r w:rsidRPr="006E4775">
        <w:rPr>
          <w:rFonts w:ascii="Garamond" w:hAnsi="Garamond"/>
        </w:rPr>
        <w:t xml:space="preserve"> </w:t>
      </w:r>
    </w:p>
    <w:p w14:paraId="356E44F0" w14:textId="77777777" w:rsidR="00534738" w:rsidRDefault="00534738" w:rsidP="00293B47">
      <w:pPr>
        <w:spacing w:line="276" w:lineRule="auto"/>
        <w:ind w:left="720" w:hanging="720"/>
        <w:jc w:val="both"/>
        <w:rPr>
          <w:rFonts w:ascii="Garamond" w:hAnsi="Garamond"/>
        </w:rPr>
      </w:pPr>
    </w:p>
    <w:p w14:paraId="50190BED" w14:textId="77777777" w:rsidR="00534738" w:rsidRDefault="00534738" w:rsidP="00293B47">
      <w:pPr>
        <w:spacing w:line="276" w:lineRule="auto"/>
        <w:ind w:left="720" w:hanging="720"/>
        <w:jc w:val="both"/>
        <w:rPr>
          <w:rFonts w:ascii="Garamond" w:hAnsi="Garamond"/>
        </w:rPr>
      </w:pPr>
    </w:p>
    <w:p w14:paraId="00000204" w14:textId="62577464"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 Observatorio Nacional de Política Criminal. (2017). Justicia juvenil diferenciada: Hacia una atención con mayores oportunidades para adolescentes en conflicto con la ley penal. </w:t>
      </w:r>
      <w:hyperlink r:id="rId68">
        <w:r w:rsidRPr="006E4775">
          <w:rPr>
            <w:rFonts w:ascii="Garamond" w:hAnsi="Garamond"/>
            <w:color w:val="1155CC"/>
            <w:u w:val="single"/>
          </w:rPr>
          <w:t>https://peru.unfpa.org/sites/default/files/pub-pdf/Publicacio%CC%81n%20NU%20FINAL_OK_VIRTUAL_0.pdf</w:t>
        </w:r>
      </w:hyperlink>
      <w:r w:rsidRPr="006E4775">
        <w:rPr>
          <w:rFonts w:ascii="Garamond" w:hAnsi="Garamond"/>
        </w:rPr>
        <w:t xml:space="preserve"> </w:t>
      </w:r>
    </w:p>
    <w:p w14:paraId="00000205" w14:textId="77777777" w:rsidR="009C50EA" w:rsidRPr="006E4775" w:rsidRDefault="00634B3D" w:rsidP="00293B47">
      <w:pPr>
        <w:spacing w:after="0" w:line="276" w:lineRule="auto"/>
        <w:ind w:left="720" w:hanging="720"/>
        <w:jc w:val="both"/>
        <w:rPr>
          <w:rFonts w:ascii="Garamond" w:hAnsi="Garamond"/>
        </w:rPr>
      </w:pPr>
      <w:r w:rsidRPr="006E4775">
        <w:rPr>
          <w:rFonts w:ascii="Garamond" w:hAnsi="Garamond"/>
        </w:rPr>
        <w:t xml:space="preserve">Observatorio de políticas sociales y desarrollo. (2019). República Dominicana y la migración internacional: Un análisis bajo el enfoque social. Boletín del Observatorio de Políticas Sociales y Desarrollo, 3(27), 1-12. </w:t>
      </w:r>
      <w:hyperlink r:id="rId69">
        <w:r w:rsidRPr="006E4775">
          <w:rPr>
            <w:rFonts w:ascii="Garamond" w:hAnsi="Garamond"/>
            <w:color w:val="1155CC"/>
            <w:u w:val="single"/>
          </w:rPr>
          <w:t>http://enfoquesocial.gob.do/media/23962/boletin-27-migracion-final.pdf</w:t>
        </w:r>
      </w:hyperlink>
      <w:r w:rsidRPr="006E4775">
        <w:rPr>
          <w:rFonts w:ascii="Garamond" w:hAnsi="Garamond"/>
        </w:rPr>
        <w:t xml:space="preserve"> </w:t>
      </w:r>
    </w:p>
    <w:p w14:paraId="00000206" w14:textId="77777777" w:rsidR="009C50EA" w:rsidRPr="006E4775" w:rsidRDefault="009C50EA" w:rsidP="00293B47">
      <w:pPr>
        <w:spacing w:after="0" w:line="276" w:lineRule="auto"/>
        <w:ind w:left="720" w:hanging="720"/>
        <w:jc w:val="both"/>
        <w:rPr>
          <w:rFonts w:ascii="Garamond" w:hAnsi="Garamond"/>
        </w:rPr>
      </w:pPr>
    </w:p>
    <w:p w14:paraId="00000207" w14:textId="77777777" w:rsidR="009C50EA" w:rsidRPr="006E4775" w:rsidRDefault="00634B3D" w:rsidP="00293B47">
      <w:pPr>
        <w:spacing w:after="0" w:line="276" w:lineRule="auto"/>
        <w:ind w:left="720" w:hanging="720"/>
        <w:jc w:val="both"/>
        <w:rPr>
          <w:rFonts w:ascii="Garamond" w:hAnsi="Garamond"/>
          <w:lang w:val="en-US"/>
        </w:rPr>
      </w:pPr>
      <w:r w:rsidRPr="006E4775">
        <w:rPr>
          <w:rFonts w:ascii="Garamond" w:hAnsi="Garamond"/>
        </w:rPr>
        <w:t xml:space="preserve">OCDE/CIES-UNIBE, (2017). Capítulo 2: El panorama de la migración en República Dominicana. En OECD/CIES-UNIBE (Eds.), Interacciones entre Políticas Públicas, Migración y Desarrollo en República Dominicana, (pp. 39-60). </w:t>
      </w:r>
      <w:r w:rsidRPr="006E4775">
        <w:rPr>
          <w:rFonts w:ascii="Garamond" w:hAnsi="Garamond"/>
          <w:lang w:val="en-US"/>
        </w:rPr>
        <w:t xml:space="preserve">Éditions OCDE. </w:t>
      </w:r>
      <w:hyperlink r:id="rId70">
        <w:r w:rsidRPr="006E4775">
          <w:rPr>
            <w:rFonts w:ascii="Garamond" w:hAnsi="Garamond"/>
            <w:color w:val="1155CC"/>
            <w:u w:val="single"/>
            <w:lang w:val="en-US"/>
          </w:rPr>
          <w:t>https://www.oecd-ilibrary.org/development/interacciones-entre-politicas-publicas-migracion-y-desarrollo-en-republica-dominicana/el-panorama-de-la-migracion-en-republica-dominicana_9789264276918-6-es</w:t>
        </w:r>
      </w:hyperlink>
    </w:p>
    <w:p w14:paraId="00000208" w14:textId="77777777" w:rsidR="009C50EA" w:rsidRPr="006E4775" w:rsidRDefault="009C50EA" w:rsidP="00293B47">
      <w:pPr>
        <w:spacing w:after="0" w:line="276" w:lineRule="auto"/>
        <w:ind w:left="720" w:hanging="720"/>
        <w:jc w:val="both"/>
        <w:rPr>
          <w:rFonts w:ascii="Garamond" w:hAnsi="Garamond"/>
          <w:lang w:val="en-US"/>
        </w:rPr>
      </w:pPr>
    </w:p>
    <w:p w14:paraId="00000209" w14:textId="77777777" w:rsidR="009C50EA" w:rsidRPr="006E4775" w:rsidRDefault="00634B3D" w:rsidP="00293B47">
      <w:pPr>
        <w:spacing w:after="0" w:line="276" w:lineRule="auto"/>
        <w:ind w:left="720" w:hanging="720"/>
        <w:jc w:val="both"/>
        <w:rPr>
          <w:rFonts w:ascii="Garamond" w:hAnsi="Garamond"/>
          <w:lang w:val="en-US"/>
        </w:rPr>
      </w:pPr>
      <w:r w:rsidRPr="006E4775">
        <w:rPr>
          <w:rFonts w:ascii="Garamond" w:hAnsi="Garamond"/>
        </w:rPr>
        <w:t xml:space="preserve">OIM. (2010). Perfil Migratorio de Colombia. </w:t>
      </w:r>
      <w:r w:rsidRPr="006E4775">
        <w:rPr>
          <w:rFonts w:ascii="Garamond" w:hAnsi="Garamond"/>
          <w:lang w:val="en-US"/>
        </w:rPr>
        <w:t xml:space="preserve">OIM. </w:t>
      </w:r>
      <w:hyperlink r:id="rId71">
        <w:r w:rsidRPr="006E4775">
          <w:rPr>
            <w:rFonts w:ascii="Garamond" w:hAnsi="Garamond"/>
            <w:color w:val="1155CC"/>
            <w:u w:val="single"/>
            <w:lang w:val="en-US"/>
          </w:rPr>
          <w:t>https://www.cancilleria.gov.co/sites/default/files/planeacion_estrategica/Transparencia/estudio_oim_con_el_apoyo_de_colombia_nos_une_y_otras_entidades.pdf</w:t>
        </w:r>
      </w:hyperlink>
      <w:r w:rsidRPr="006E4775">
        <w:rPr>
          <w:rFonts w:ascii="Garamond" w:hAnsi="Garamond"/>
          <w:lang w:val="en-US"/>
        </w:rPr>
        <w:t xml:space="preserve"> </w:t>
      </w:r>
    </w:p>
    <w:p w14:paraId="0000020A" w14:textId="77777777" w:rsidR="009C50EA" w:rsidRPr="006E4775" w:rsidRDefault="009C50EA" w:rsidP="00293B47">
      <w:pPr>
        <w:spacing w:after="0" w:line="276" w:lineRule="auto"/>
        <w:ind w:left="720" w:hanging="720"/>
        <w:jc w:val="both"/>
        <w:rPr>
          <w:rFonts w:ascii="Garamond" w:hAnsi="Garamond"/>
          <w:lang w:val="en-US"/>
        </w:rPr>
      </w:pPr>
    </w:p>
    <w:p w14:paraId="0000020B"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rPr>
        <w:t xml:space="preserve">OIM. (2012a). Perfil Migratorio del Perú 2012. </w:t>
      </w:r>
      <w:r w:rsidRPr="006E4775">
        <w:rPr>
          <w:rFonts w:ascii="Garamond" w:hAnsi="Garamond"/>
          <w:lang w:val="en-US"/>
        </w:rPr>
        <w:t xml:space="preserve">OIM. </w:t>
      </w:r>
      <w:hyperlink r:id="rId72">
        <w:r w:rsidRPr="006E4775">
          <w:rPr>
            <w:rFonts w:ascii="Garamond" w:hAnsi="Garamond"/>
            <w:color w:val="1155CC"/>
            <w:u w:val="single"/>
            <w:lang w:val="en-US"/>
          </w:rPr>
          <w:t>https://www.iom.int/sites/g/files/tmzbdl486/files/migrated_files/pbn/docs/Perfil_Migratorio_Peru_2012.pdf</w:t>
        </w:r>
      </w:hyperlink>
      <w:r w:rsidRPr="006E4775">
        <w:rPr>
          <w:rFonts w:ascii="Garamond" w:hAnsi="Garamond"/>
          <w:lang w:val="en-US"/>
        </w:rPr>
        <w:t xml:space="preserve"> </w:t>
      </w:r>
    </w:p>
    <w:p w14:paraId="0000020C"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rPr>
        <w:t xml:space="preserve">OIM. (2012b). Resultados de la Primera Encuesta Mundial a la Comunidad Peruana en el Exterior. </w:t>
      </w:r>
      <w:r w:rsidRPr="006E4775">
        <w:rPr>
          <w:rFonts w:ascii="Garamond" w:hAnsi="Garamond"/>
          <w:lang w:val="en-US"/>
        </w:rPr>
        <w:t xml:space="preserve">OIM. </w:t>
      </w:r>
      <w:hyperlink r:id="rId73">
        <w:r w:rsidRPr="006E4775">
          <w:rPr>
            <w:rFonts w:ascii="Garamond" w:hAnsi="Garamond"/>
            <w:color w:val="1155CC"/>
            <w:u w:val="single"/>
            <w:lang w:val="en-US"/>
          </w:rPr>
          <w:t>http://ipe.org.pe/wp-content/uploads/2009/06/migracion-en-el-peru-ipe-0510109.pdf</w:t>
        </w:r>
      </w:hyperlink>
      <w:r w:rsidRPr="006E4775">
        <w:rPr>
          <w:rFonts w:ascii="Garamond" w:hAnsi="Garamond"/>
          <w:lang w:val="en-US"/>
        </w:rPr>
        <w:t xml:space="preserve"> </w:t>
      </w:r>
    </w:p>
    <w:p w14:paraId="0000020D"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rPr>
        <w:t xml:space="preserve">OIM. (2017). Perfil Migratorio de República Dominicana. </w:t>
      </w:r>
      <w:r w:rsidRPr="006E4775">
        <w:rPr>
          <w:rFonts w:ascii="Garamond" w:hAnsi="Garamond"/>
          <w:lang w:val="en-US"/>
        </w:rPr>
        <w:t xml:space="preserve">OIM. </w:t>
      </w:r>
      <w:hyperlink r:id="rId74">
        <w:r w:rsidRPr="006E4775">
          <w:rPr>
            <w:rFonts w:ascii="Garamond" w:hAnsi="Garamond"/>
            <w:color w:val="1155CC"/>
            <w:u w:val="single"/>
            <w:lang w:val="en-US"/>
          </w:rPr>
          <w:t>https://kmhub.iom.int/sites/default/files/perfil_migratorio_rd.pdf</w:t>
        </w:r>
      </w:hyperlink>
      <w:r w:rsidRPr="006E4775">
        <w:rPr>
          <w:rFonts w:ascii="Garamond" w:hAnsi="Garamond"/>
          <w:lang w:val="en-US"/>
        </w:rPr>
        <w:t xml:space="preserve"> </w:t>
      </w:r>
    </w:p>
    <w:p w14:paraId="0000020E"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OIM. (2020). El perfil de los refugiados y migrantes de Venezuela en América Latina y el Caribe revela variaciones de país a país en sus características y experiencias. </w:t>
      </w:r>
      <w:hyperlink r:id="rId75">
        <w:r w:rsidRPr="006E4775">
          <w:rPr>
            <w:rFonts w:ascii="Garamond" w:hAnsi="Garamond"/>
            <w:color w:val="1155CC"/>
            <w:u w:val="single"/>
          </w:rPr>
          <w:t>https://www.iom.int/es/news/el-perfil-de-los-refugiados-y-migrantes-de-venezuela-en-america-latina-y-el-caribe-revela-variaciones-de-pais-pais-en-sus-caracteristicas-y-experiencias</w:t>
        </w:r>
      </w:hyperlink>
      <w:r w:rsidRPr="006E4775">
        <w:rPr>
          <w:rFonts w:ascii="Garamond" w:hAnsi="Garamond"/>
        </w:rPr>
        <w:t xml:space="preserve"> </w:t>
      </w:r>
    </w:p>
    <w:p w14:paraId="0000020F"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lang w:val="en-US"/>
        </w:rPr>
        <w:t xml:space="preserve">ONE. (2020). División Territorial 2020. ONE. </w:t>
      </w:r>
      <w:hyperlink r:id="rId76">
        <w:r w:rsidRPr="006E4775">
          <w:rPr>
            <w:rFonts w:ascii="Garamond" w:hAnsi="Garamond"/>
            <w:color w:val="1155CC"/>
            <w:u w:val="single"/>
            <w:lang w:val="en-US"/>
          </w:rPr>
          <w:t>https://www.one.gob.do/media/s5gdl00n/divisi%C3%B3n-territorial-2020-t.pdf</w:t>
        </w:r>
      </w:hyperlink>
      <w:r w:rsidRPr="006E4775">
        <w:rPr>
          <w:rFonts w:ascii="Garamond" w:hAnsi="Garamond"/>
          <w:lang w:val="en-US"/>
        </w:rPr>
        <w:t xml:space="preserve"> </w:t>
      </w:r>
    </w:p>
    <w:p w14:paraId="00000210"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lang w:val="en-US"/>
        </w:rPr>
        <w:t xml:space="preserve">ONE. (2021). </w:t>
      </w:r>
      <w:r w:rsidRPr="006E4775">
        <w:rPr>
          <w:rFonts w:ascii="Garamond" w:hAnsi="Garamond"/>
        </w:rPr>
        <w:t xml:space="preserve">Estimaciones y proyecciones demográficas. </w:t>
      </w:r>
      <w:hyperlink r:id="rId77">
        <w:r w:rsidRPr="006E4775">
          <w:rPr>
            <w:rFonts w:ascii="Garamond" w:hAnsi="Garamond"/>
            <w:color w:val="1155CC"/>
            <w:u w:val="single"/>
          </w:rPr>
          <w:t>https://www.one.gob.do/datos-y-estadisticas/temas/estadisticas-demograficas/estimaciones-y-proyecciones-demograficas/</w:t>
        </w:r>
      </w:hyperlink>
      <w:r w:rsidRPr="006E4775">
        <w:rPr>
          <w:rFonts w:ascii="Garamond" w:hAnsi="Garamond"/>
        </w:rPr>
        <w:t xml:space="preserve"> </w:t>
      </w:r>
    </w:p>
    <w:p w14:paraId="00000211"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rPr>
        <w:t xml:space="preserve">OIM/IPPDH. (2017). Diagnóstico Regional sobre Migración Haitiana. </w:t>
      </w:r>
      <w:hyperlink r:id="rId78">
        <w:r w:rsidRPr="006E4775">
          <w:rPr>
            <w:rFonts w:ascii="Garamond" w:hAnsi="Garamond"/>
            <w:color w:val="1155CC"/>
            <w:u w:val="single"/>
            <w:lang w:val="en-US"/>
          </w:rPr>
          <w:t>https://repository.iom.int/handle/20.500.11788/1801</w:t>
        </w:r>
      </w:hyperlink>
      <w:r w:rsidRPr="006E4775">
        <w:rPr>
          <w:rFonts w:ascii="Garamond" w:hAnsi="Garamond"/>
          <w:lang w:val="en-US"/>
        </w:rPr>
        <w:t xml:space="preserve"> </w:t>
      </w:r>
    </w:p>
    <w:p w14:paraId="00000212"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lang w:val="en-US"/>
        </w:rPr>
        <w:t>Orozco, Manuel (2006). Understanding the remittance economy in Haiti. Inter-American Dialogue World Bank. Washington D.C</w:t>
      </w:r>
    </w:p>
    <w:p w14:paraId="33A5E76C" w14:textId="77777777" w:rsidR="00534738" w:rsidRDefault="00534738" w:rsidP="00534738">
      <w:pPr>
        <w:spacing w:line="276" w:lineRule="auto"/>
        <w:ind w:left="720" w:hanging="720"/>
        <w:jc w:val="both"/>
        <w:rPr>
          <w:rFonts w:ascii="Garamond" w:hAnsi="Garamond"/>
          <w:lang w:val="en-US"/>
        </w:rPr>
      </w:pPr>
    </w:p>
    <w:p w14:paraId="00000213" w14:textId="172CFB00" w:rsidR="009C50EA" w:rsidRPr="006E4775" w:rsidRDefault="00634B3D" w:rsidP="00534738">
      <w:pPr>
        <w:spacing w:line="276" w:lineRule="auto"/>
        <w:ind w:left="1440" w:hanging="1440"/>
        <w:jc w:val="both"/>
        <w:rPr>
          <w:rFonts w:ascii="Garamond" w:hAnsi="Garamond"/>
          <w:lang w:val="en-US"/>
        </w:rPr>
      </w:pPr>
      <w:proofErr w:type="spellStart"/>
      <w:r w:rsidRPr="00526758">
        <w:rPr>
          <w:rFonts w:ascii="Garamond" w:hAnsi="Garamond"/>
          <w:lang w:val="en-US"/>
        </w:rPr>
        <w:t>Peñafiel</w:t>
      </w:r>
      <w:proofErr w:type="spellEnd"/>
      <w:r w:rsidRPr="00526758">
        <w:rPr>
          <w:rFonts w:ascii="Garamond" w:hAnsi="Garamond"/>
          <w:lang w:val="en-US"/>
        </w:rPr>
        <w:t xml:space="preserve">, L. (2020). </w:t>
      </w:r>
      <w:r w:rsidRPr="006E4775">
        <w:rPr>
          <w:rFonts w:ascii="Garamond" w:hAnsi="Garamond"/>
        </w:rPr>
        <w:t xml:space="preserve">¿ </w:t>
      </w:r>
      <w:proofErr w:type="spellStart"/>
      <w:r w:rsidRPr="006E4775">
        <w:rPr>
          <w:rFonts w:ascii="Garamond" w:hAnsi="Garamond"/>
        </w:rPr>
        <w:t>Migración</w:t>
      </w:r>
      <w:proofErr w:type="spellEnd"/>
      <w:r w:rsidRPr="006E4775">
        <w:rPr>
          <w:rFonts w:ascii="Garamond" w:hAnsi="Garamond"/>
        </w:rPr>
        <w:t xml:space="preserve"> venezolana un problema para </w:t>
      </w:r>
      <w:proofErr w:type="spellStart"/>
      <w:r w:rsidRPr="006E4775">
        <w:rPr>
          <w:rFonts w:ascii="Garamond" w:hAnsi="Garamond"/>
        </w:rPr>
        <w:t>latinoamérica</w:t>
      </w:r>
      <w:proofErr w:type="spellEnd"/>
      <w:r w:rsidRPr="006E4775">
        <w:rPr>
          <w:rFonts w:ascii="Garamond" w:hAnsi="Garamond"/>
        </w:rPr>
        <w:t xml:space="preserve">? Un </w:t>
      </w:r>
      <w:proofErr w:type="spellStart"/>
      <w:r w:rsidRPr="006E4775">
        <w:rPr>
          <w:rFonts w:ascii="Garamond" w:hAnsi="Garamond"/>
        </w:rPr>
        <w:t>análisis</w:t>
      </w:r>
      <w:proofErr w:type="spellEnd"/>
      <w:r w:rsidRPr="006E4775">
        <w:rPr>
          <w:rFonts w:ascii="Garamond" w:hAnsi="Garamond"/>
        </w:rPr>
        <w:t xml:space="preserve"> a </w:t>
      </w:r>
      <w:proofErr w:type="spellStart"/>
      <w:r w:rsidRPr="006E4775">
        <w:rPr>
          <w:rFonts w:ascii="Garamond" w:hAnsi="Garamond"/>
        </w:rPr>
        <w:t>través</w:t>
      </w:r>
      <w:proofErr w:type="spellEnd"/>
      <w:r w:rsidRPr="006E4775">
        <w:rPr>
          <w:rFonts w:ascii="Garamond" w:hAnsi="Garamond"/>
        </w:rPr>
        <w:t xml:space="preserve"> de la historia y sus determinantes. </w:t>
      </w:r>
      <w:proofErr w:type="spellStart"/>
      <w:r w:rsidRPr="006E4775">
        <w:rPr>
          <w:rFonts w:ascii="Garamond" w:hAnsi="Garamond"/>
          <w:lang w:val="en-US"/>
        </w:rPr>
        <w:t>Cuestione</w:t>
      </w:r>
      <w:proofErr w:type="spellEnd"/>
      <w:r w:rsidRPr="006E4775">
        <w:rPr>
          <w:rFonts w:ascii="Garamond" w:hAnsi="Garamond"/>
          <w:lang w:val="en-US"/>
        </w:rPr>
        <w:t xml:space="preserve"> </w:t>
      </w:r>
      <w:proofErr w:type="spellStart"/>
      <w:r w:rsidRPr="006E4775">
        <w:rPr>
          <w:rFonts w:ascii="Garamond" w:hAnsi="Garamond"/>
          <w:lang w:val="en-US"/>
        </w:rPr>
        <w:t>Económicas</w:t>
      </w:r>
      <w:proofErr w:type="spellEnd"/>
      <w:r w:rsidRPr="006E4775">
        <w:rPr>
          <w:rFonts w:ascii="Garamond" w:hAnsi="Garamond"/>
          <w:lang w:val="en-US"/>
        </w:rPr>
        <w:t>, 30(1), 1-28.</w:t>
      </w:r>
    </w:p>
    <w:p w14:paraId="00000214"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lang w:val="en-US"/>
        </w:rPr>
        <w:t xml:space="preserve">PNUD. (2019). Human Development Index (HDI). </w:t>
      </w:r>
      <w:hyperlink r:id="rId79" w:anchor="/indicies/HDI">
        <w:r w:rsidRPr="006E4775">
          <w:rPr>
            <w:rFonts w:ascii="Garamond" w:hAnsi="Garamond"/>
            <w:color w:val="1155CC"/>
            <w:u w:val="single"/>
            <w:lang w:val="en-US"/>
          </w:rPr>
          <w:t>https://hdr.undp.org/data-center/human-development-index#/indicies/HDI</w:t>
        </w:r>
      </w:hyperlink>
      <w:r w:rsidRPr="006E4775">
        <w:rPr>
          <w:rFonts w:ascii="Garamond" w:hAnsi="Garamond"/>
          <w:lang w:val="en-US"/>
        </w:rPr>
        <w:t xml:space="preserve"> </w:t>
      </w:r>
    </w:p>
    <w:p w14:paraId="00000215" w14:textId="77777777" w:rsidR="009C50EA" w:rsidRPr="006E4775" w:rsidRDefault="00634B3D" w:rsidP="00293B47">
      <w:pPr>
        <w:spacing w:line="276" w:lineRule="auto"/>
        <w:ind w:left="720" w:hanging="720"/>
        <w:jc w:val="both"/>
        <w:rPr>
          <w:rFonts w:ascii="Garamond" w:hAnsi="Garamond"/>
        </w:rPr>
      </w:pPr>
      <w:r w:rsidRPr="00526758">
        <w:rPr>
          <w:rFonts w:ascii="Garamond" w:hAnsi="Garamond"/>
          <w:lang w:val="en-US"/>
        </w:rPr>
        <w:t xml:space="preserve">Save the Children. </w:t>
      </w:r>
      <w:r w:rsidRPr="006E4775">
        <w:rPr>
          <w:rFonts w:ascii="Garamond" w:hAnsi="Garamond"/>
        </w:rPr>
        <w:t xml:space="preserve">(2012). Los niños y niñas de Haití – un año después: Un país en la encrucijada. </w:t>
      </w:r>
      <w:hyperlink r:id="rId80">
        <w:r w:rsidRPr="006E4775">
          <w:rPr>
            <w:rFonts w:ascii="Garamond" w:hAnsi="Garamond"/>
            <w:color w:val="1155CC"/>
            <w:u w:val="single"/>
          </w:rPr>
          <w:t>http://ibdigital.uib.es/greenstone/sites/localsite/collect/cd2/index/assoc/stc0113.dir/stc0113.pdf</w:t>
        </w:r>
      </w:hyperlink>
      <w:r w:rsidRPr="006E4775">
        <w:rPr>
          <w:rFonts w:ascii="Garamond" w:hAnsi="Garamond"/>
        </w:rPr>
        <w:t xml:space="preserve"> </w:t>
      </w:r>
    </w:p>
    <w:p w14:paraId="00000216"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SITEAL. (2019). República Dominicana. SITEAL. </w:t>
      </w:r>
      <w:hyperlink r:id="rId81">
        <w:r w:rsidRPr="006E4775">
          <w:rPr>
            <w:rFonts w:ascii="Garamond" w:hAnsi="Garamond"/>
            <w:color w:val="1155CC"/>
            <w:u w:val="single"/>
          </w:rPr>
          <w:t>https://siteal.iiep.unesco.org/sites/default/files/sit_informe_pdfs/siteal_pi_republica_dominicana_20190523.pdf</w:t>
        </w:r>
      </w:hyperlink>
      <w:r w:rsidRPr="006E4775">
        <w:rPr>
          <w:rFonts w:ascii="Garamond" w:hAnsi="Garamond"/>
        </w:rPr>
        <w:t xml:space="preserve"> </w:t>
      </w:r>
    </w:p>
    <w:p w14:paraId="00000217"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Solé, C., Parella, S. y </w:t>
      </w:r>
      <w:proofErr w:type="spellStart"/>
      <w:r w:rsidRPr="006E4775">
        <w:rPr>
          <w:rFonts w:ascii="Garamond" w:hAnsi="Garamond"/>
        </w:rPr>
        <w:t>Petroff</w:t>
      </w:r>
      <w:proofErr w:type="spellEnd"/>
      <w:r w:rsidRPr="006E4775">
        <w:rPr>
          <w:rFonts w:ascii="Garamond" w:hAnsi="Garamond"/>
        </w:rPr>
        <w:t xml:space="preserve">, A. (2014). Las migraciones bolivianas en la encrucijada interdisciplinar: evolución, cambios y tendencias. Editorial Focus </w:t>
      </w:r>
      <w:proofErr w:type="spellStart"/>
      <w:r w:rsidRPr="006E4775">
        <w:rPr>
          <w:rFonts w:ascii="Garamond" w:hAnsi="Garamond"/>
        </w:rPr>
        <w:t>on</w:t>
      </w:r>
      <w:proofErr w:type="spellEnd"/>
      <w:r w:rsidRPr="006E4775">
        <w:rPr>
          <w:rFonts w:ascii="Garamond" w:hAnsi="Garamond"/>
        </w:rPr>
        <w:t xml:space="preserve"> International </w:t>
      </w:r>
      <w:proofErr w:type="spellStart"/>
      <w:r w:rsidRPr="006E4775">
        <w:rPr>
          <w:rFonts w:ascii="Garamond" w:hAnsi="Garamond"/>
        </w:rPr>
        <w:t>migration</w:t>
      </w:r>
      <w:proofErr w:type="spellEnd"/>
      <w:r w:rsidRPr="006E4775">
        <w:rPr>
          <w:rFonts w:ascii="Garamond" w:hAnsi="Garamond"/>
        </w:rPr>
        <w:t xml:space="preserve">. </w:t>
      </w:r>
    </w:p>
    <w:p w14:paraId="00000218" w14:textId="23D8CF84" w:rsidR="009C50EA" w:rsidRDefault="00634B3D" w:rsidP="00293B47">
      <w:pPr>
        <w:spacing w:line="276" w:lineRule="auto"/>
        <w:ind w:left="720" w:hanging="720"/>
        <w:jc w:val="both"/>
        <w:rPr>
          <w:rFonts w:ascii="Garamond" w:hAnsi="Garamond"/>
        </w:rPr>
      </w:pPr>
      <w:r w:rsidRPr="006E4775">
        <w:rPr>
          <w:rFonts w:ascii="Garamond" w:hAnsi="Garamond"/>
        </w:rPr>
        <w:t xml:space="preserve">R4V. (5 de mayo del 2022). Refugiados y migrantes de Venezuela. </w:t>
      </w:r>
      <w:hyperlink r:id="rId82">
        <w:r w:rsidRPr="006E4775">
          <w:rPr>
            <w:rFonts w:ascii="Garamond" w:hAnsi="Garamond"/>
            <w:color w:val="1155CC"/>
            <w:u w:val="single"/>
          </w:rPr>
          <w:t>https://www.r4v.info/es/refugiadosymigrantes</w:t>
        </w:r>
      </w:hyperlink>
      <w:r w:rsidRPr="006E4775">
        <w:rPr>
          <w:rFonts w:ascii="Garamond" w:hAnsi="Garamond"/>
        </w:rPr>
        <w:t xml:space="preserve"> </w:t>
      </w:r>
    </w:p>
    <w:p w14:paraId="4F9DCEDF" w14:textId="52E375A1" w:rsidR="00534738" w:rsidRPr="006E4775" w:rsidRDefault="00534738" w:rsidP="00293B47">
      <w:pPr>
        <w:spacing w:line="276" w:lineRule="auto"/>
        <w:ind w:left="720" w:hanging="720"/>
        <w:jc w:val="both"/>
        <w:rPr>
          <w:rFonts w:ascii="Garamond" w:hAnsi="Garamond"/>
        </w:rPr>
      </w:pPr>
      <w:r w:rsidRPr="00534738">
        <w:rPr>
          <w:rFonts w:ascii="Garamond" w:hAnsi="Garamond"/>
        </w:rPr>
        <w:t xml:space="preserve">Torres Andrade, C. M. (2019). Inmigración venezolana: remesas y canales de envío de venezolanos con trabajo formal en la ciudad de Guayaquil, periodo 2019 </w:t>
      </w:r>
      <w:r>
        <w:rPr>
          <w:rFonts w:ascii="Garamond" w:hAnsi="Garamond"/>
        </w:rPr>
        <w:t>[Tesis de pregrado]</w:t>
      </w:r>
      <w:r w:rsidRPr="00534738">
        <w:rPr>
          <w:rFonts w:ascii="Garamond" w:hAnsi="Garamond"/>
        </w:rPr>
        <w:t>, Universidad Casa Grande</w:t>
      </w:r>
    </w:p>
    <w:p w14:paraId="00000219"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Torres, H. y Rojas, J. (2013). Tratamiento a la delincuencia juvenil en Colombia en el sistema de responsabilidad de adolescentes. Verba </w:t>
      </w:r>
      <w:proofErr w:type="spellStart"/>
      <w:r w:rsidRPr="006E4775">
        <w:rPr>
          <w:rFonts w:ascii="Garamond" w:hAnsi="Garamond"/>
        </w:rPr>
        <w:t>luris</w:t>
      </w:r>
      <w:proofErr w:type="spellEnd"/>
      <w:r w:rsidRPr="006E4775">
        <w:rPr>
          <w:rFonts w:ascii="Garamond" w:hAnsi="Garamond"/>
        </w:rPr>
        <w:t>, (30), 115-133.</w:t>
      </w:r>
    </w:p>
    <w:p w14:paraId="0000021A" w14:textId="77777777" w:rsidR="009C50EA" w:rsidRPr="006E4775" w:rsidRDefault="00634B3D" w:rsidP="00293B47">
      <w:pPr>
        <w:spacing w:line="276" w:lineRule="auto"/>
        <w:ind w:left="720" w:hanging="720"/>
        <w:jc w:val="both"/>
        <w:rPr>
          <w:rFonts w:ascii="Garamond" w:hAnsi="Garamond"/>
        </w:rPr>
      </w:pPr>
      <w:r w:rsidRPr="006E4775">
        <w:rPr>
          <w:rFonts w:ascii="Garamond" w:hAnsi="Garamond"/>
        </w:rPr>
        <w:t xml:space="preserve">UNICEF. (2011). Edades mínimas legales para la realización de los derechos de los y las adolescentes. </w:t>
      </w:r>
      <w:hyperlink r:id="rId83">
        <w:r w:rsidRPr="006E4775">
          <w:rPr>
            <w:rFonts w:ascii="Garamond" w:hAnsi="Garamond"/>
            <w:color w:val="1155CC"/>
            <w:u w:val="single"/>
          </w:rPr>
          <w:t>https://www.unicef.org/lac/media/2666/file/PDF%20Edad%20m%C3%ADnima%20para%20la%20responsabilidad%20penal.pdf</w:t>
        </w:r>
      </w:hyperlink>
      <w:r w:rsidRPr="006E4775">
        <w:rPr>
          <w:rFonts w:ascii="Garamond" w:hAnsi="Garamond"/>
        </w:rPr>
        <w:t xml:space="preserve"> </w:t>
      </w:r>
    </w:p>
    <w:p w14:paraId="0000021B" w14:textId="77777777" w:rsidR="009C50EA" w:rsidRPr="006E4775" w:rsidRDefault="00634B3D" w:rsidP="00293B47">
      <w:pPr>
        <w:spacing w:line="276" w:lineRule="auto"/>
        <w:ind w:left="720" w:hanging="720"/>
        <w:jc w:val="both"/>
        <w:rPr>
          <w:rFonts w:ascii="Garamond" w:hAnsi="Garamond"/>
          <w:lang w:val="en-US"/>
        </w:rPr>
      </w:pPr>
      <w:r w:rsidRPr="006E4775">
        <w:rPr>
          <w:rFonts w:ascii="Garamond" w:hAnsi="Garamond"/>
        </w:rPr>
        <w:t xml:space="preserve">UNICEF Colombia. (25 de mayo del 2019). ¿Cómo ha sido el panorama de las niñas y niños en Colombia? </w:t>
      </w:r>
      <w:r w:rsidRPr="006E4775">
        <w:rPr>
          <w:rFonts w:ascii="Garamond" w:hAnsi="Garamond"/>
          <w:lang w:val="en-US"/>
        </w:rPr>
        <w:t xml:space="preserve">UNICEF. </w:t>
      </w:r>
      <w:hyperlink r:id="rId84" w:anchor=":~:text=En%20Am%C3%A9rica%20Latina%20y%20el,pertenecen%20a%20este%20segmento%20poblacional">
        <w:r w:rsidRPr="006E4775">
          <w:rPr>
            <w:rFonts w:ascii="Garamond" w:hAnsi="Garamond"/>
            <w:color w:val="1155CC"/>
            <w:u w:val="single"/>
            <w:lang w:val="en-US"/>
          </w:rPr>
          <w:t>https://legadosolidario.unicef.org.co/conecta-con-unicef/panorama-ninas-ninos-colombia#:~:text=En%20Am%C3%A9rica%20Latina%20y%20el,pertenecen%20a%20este%20segmento%20poblacional</w:t>
        </w:r>
      </w:hyperlink>
      <w:r w:rsidRPr="006E4775">
        <w:rPr>
          <w:rFonts w:ascii="Garamond" w:hAnsi="Garamond"/>
          <w:lang w:val="en-US"/>
        </w:rPr>
        <w:t xml:space="preserve"> </w:t>
      </w:r>
    </w:p>
    <w:p w14:paraId="0000021C" w14:textId="77777777" w:rsidR="009C50EA" w:rsidRPr="00293B47" w:rsidRDefault="00634B3D" w:rsidP="00293B47">
      <w:pPr>
        <w:spacing w:line="276" w:lineRule="auto"/>
        <w:ind w:left="720" w:hanging="720"/>
        <w:jc w:val="both"/>
        <w:rPr>
          <w:rFonts w:ascii="Garamond" w:hAnsi="Garamond"/>
        </w:rPr>
      </w:pPr>
      <w:r w:rsidRPr="006E4775">
        <w:rPr>
          <w:rFonts w:ascii="Garamond" w:hAnsi="Garamond"/>
        </w:rPr>
        <w:t xml:space="preserve">UNICEF Venezuela. (2016). Análisis comparativo de la legislación nacional sobre justicia juvenil con la de otros países y revisión de experiencias latinoamericanas sobre programas de atención de adolescentes en conflicto con la ley penal entre 12 y 14 años. Editorial UNICEF. </w:t>
      </w:r>
      <w:hyperlink r:id="rId85">
        <w:r w:rsidRPr="006E4775">
          <w:rPr>
            <w:rFonts w:ascii="Garamond" w:hAnsi="Garamond"/>
            <w:color w:val="1155CC"/>
            <w:u w:val="single"/>
          </w:rPr>
          <w:t>https://www.unicef.org/venezuela/informes/an%C3%A1lisis-de-la-legislaci%C3%B3n-nacional-sobre-justicia-juvenil-de-adolescentes-con-la-ley</w:t>
        </w:r>
      </w:hyperlink>
      <w:r w:rsidRPr="00293B47">
        <w:rPr>
          <w:rFonts w:ascii="Garamond" w:hAnsi="Garamond"/>
        </w:rPr>
        <w:t xml:space="preserve"> </w:t>
      </w:r>
    </w:p>
    <w:p w14:paraId="0000021D" w14:textId="77777777" w:rsidR="009C50EA" w:rsidRPr="00293B47" w:rsidRDefault="009C50EA" w:rsidP="00293B47">
      <w:pPr>
        <w:spacing w:line="276" w:lineRule="auto"/>
        <w:ind w:left="720" w:hanging="720"/>
        <w:jc w:val="both"/>
        <w:rPr>
          <w:rFonts w:ascii="Garamond" w:hAnsi="Garamond"/>
        </w:rPr>
      </w:pPr>
    </w:p>
    <w:p w14:paraId="0000021E" w14:textId="77777777" w:rsidR="009C50EA" w:rsidRPr="00293B47" w:rsidRDefault="00634B3D" w:rsidP="00293B47">
      <w:pPr>
        <w:spacing w:line="276" w:lineRule="auto"/>
        <w:ind w:left="720" w:hanging="720"/>
        <w:jc w:val="both"/>
        <w:rPr>
          <w:rFonts w:ascii="Garamond" w:hAnsi="Garamond"/>
        </w:rPr>
      </w:pPr>
      <w:r w:rsidRPr="00293B47">
        <w:rPr>
          <w:rFonts w:ascii="Garamond" w:hAnsi="Garamond"/>
        </w:rPr>
        <w:t xml:space="preserve"> </w:t>
      </w:r>
    </w:p>
    <w:sectPr w:rsidR="009C50EA" w:rsidRPr="00293B4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279E6" w14:textId="77777777" w:rsidR="008B5FF5" w:rsidRDefault="008B5FF5" w:rsidP="000A700C">
      <w:pPr>
        <w:spacing w:after="0" w:line="240" w:lineRule="auto"/>
      </w:pPr>
      <w:r>
        <w:separator/>
      </w:r>
    </w:p>
  </w:endnote>
  <w:endnote w:type="continuationSeparator" w:id="0">
    <w:p w14:paraId="4F399B70" w14:textId="77777777" w:rsidR="008B5FF5" w:rsidRDefault="008B5FF5" w:rsidP="000A7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276670"/>
      <w:docPartObj>
        <w:docPartGallery w:val="Page Numbers (Bottom of Page)"/>
        <w:docPartUnique/>
      </w:docPartObj>
    </w:sdtPr>
    <w:sdtContent>
      <w:p w14:paraId="2F048333" w14:textId="0D25031A" w:rsidR="00526758" w:rsidRDefault="00526758">
        <w:pPr>
          <w:pStyle w:val="Piedepgina"/>
          <w:jc w:val="right"/>
        </w:pPr>
        <w:r>
          <w:fldChar w:fldCharType="begin"/>
        </w:r>
        <w:r>
          <w:instrText>PAGE   \* MERGEFORMAT</w:instrText>
        </w:r>
        <w:r>
          <w:fldChar w:fldCharType="separate"/>
        </w:r>
        <w:r>
          <w:rPr>
            <w:lang w:val="es-ES"/>
          </w:rPr>
          <w:t>2</w:t>
        </w:r>
        <w:r>
          <w:fldChar w:fldCharType="end"/>
        </w:r>
      </w:p>
    </w:sdtContent>
  </w:sdt>
  <w:p w14:paraId="05336BF3" w14:textId="77777777" w:rsidR="00526758" w:rsidRDefault="005267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08DD5" w14:textId="77777777" w:rsidR="008B5FF5" w:rsidRDefault="008B5FF5" w:rsidP="000A700C">
      <w:pPr>
        <w:spacing w:after="0" w:line="240" w:lineRule="auto"/>
      </w:pPr>
      <w:r>
        <w:separator/>
      </w:r>
    </w:p>
  </w:footnote>
  <w:footnote w:type="continuationSeparator" w:id="0">
    <w:p w14:paraId="0E668A72" w14:textId="77777777" w:rsidR="008B5FF5" w:rsidRDefault="008B5FF5" w:rsidP="000A700C">
      <w:pPr>
        <w:spacing w:after="0" w:line="240" w:lineRule="auto"/>
      </w:pPr>
      <w:r>
        <w:continuationSeparator/>
      </w:r>
    </w:p>
  </w:footnote>
  <w:footnote w:id="1">
    <w:p w14:paraId="368FC225" w14:textId="77777777" w:rsidR="00526758" w:rsidRPr="00F74C7B" w:rsidRDefault="00526758" w:rsidP="00EE4BB7">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Datos analizados a partir de base de datos SENAINFO al 31 de diciembre 2021.</w:t>
      </w:r>
    </w:p>
  </w:footnote>
  <w:footnote w:id="2">
    <w:p w14:paraId="3612983B" w14:textId="611F6369"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El mapa describe nacionalidades de población migrante en SENAME en América Latina, excluyendo la representación de países de Eurasia (Italia y Rusia, habiendo solo 1 caso de cada país).</w:t>
      </w:r>
    </w:p>
  </w:footnote>
  <w:footnote w:id="3">
    <w:p w14:paraId="6015685D" w14:textId="4DC155A1"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https://datos.bancomundial.org/</w:t>
      </w:r>
    </w:p>
  </w:footnote>
  <w:footnote w:id="4">
    <w:p w14:paraId="7D7EED84" w14:textId="019EACB6"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https://datosmacro.expansion.com/idh</w:t>
      </w:r>
    </w:p>
  </w:footnote>
  <w:footnote w:id="5">
    <w:p w14:paraId="6D067156" w14:textId="77777777" w:rsidR="00526758" w:rsidRPr="00F74C7B" w:rsidRDefault="00526758" w:rsidP="004566A6">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w:t>
      </w:r>
      <w:r w:rsidRPr="00F74C7B">
        <w:rPr>
          <w:rFonts w:ascii="Garamond" w:hAnsi="Garamond"/>
          <w:sz w:val="18"/>
          <w:szCs w:val="18"/>
        </w:rPr>
        <w:t>Cuaqui, a</w:t>
      </w:r>
      <w:r w:rsidRPr="00F74C7B">
        <w:rPr>
          <w:rStyle w:val="cf01"/>
          <w:rFonts w:ascii="Garamond" w:hAnsi="Garamond"/>
        </w:rPr>
        <w:t>chuar, amahuaca, arabela, ashaninka, awajún, bora, capanahua, cashinahua, chamicuro, ese eja, harakbut, iñapari, iquitu, isconahua, kakataibo, kakinte (caquinte), kandozi-chapra, kukama-kukamiria, madija (culina), maijuna, matsigenka, matses, muniche, murui-muinani, nanti, nomatsigenga, ocaina, omagua, resígaro, secoya, sharanahua, shawi, shipibo-konibo, shiwilu, taushiro, tikuna (ticuna), urarina, wampis, yagua, yaminahua, yanesha, yine, yora y (nahua)</w:t>
      </w:r>
    </w:p>
  </w:footnote>
  <w:footnote w:id="6">
    <w:p w14:paraId="246D6EFB" w14:textId="77777777" w:rsidR="00526758" w:rsidRPr="00F74C7B" w:rsidRDefault="00526758" w:rsidP="004566A6">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w:t>
      </w:r>
      <w:r w:rsidRPr="00F74C7B">
        <w:rPr>
          <w:rFonts w:ascii="Garamond" w:hAnsi="Garamond"/>
          <w:sz w:val="18"/>
          <w:szCs w:val="18"/>
        </w:rPr>
        <w:t>Araona, baure, bésiro, canichana, cavineño, cayubaba, chácobo, chimán, ese ejja, guaraní, guarasuwe, guarayu, itonama, leco, machajuyaikallawaya, machineri, maropa, mojeño-trinitario, mojeño-ignaciano, moré, mosetén, movima, pacawara, puquina, sirionó, tacana, tapiete, toromona, uru-chipaya, weenhayek, yaminawa, yuki, yuracaré y zamuco</w:t>
      </w:r>
    </w:p>
  </w:footnote>
  <w:footnote w:id="7">
    <w:p w14:paraId="63D6943E" w14:textId="0737A76B"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En quechua y aimara</w:t>
      </w:r>
    </w:p>
  </w:footnote>
  <w:footnote w:id="8">
    <w:p w14:paraId="692D8F34" w14:textId="30AFAF03"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w:t>
      </w:r>
      <w:r w:rsidRPr="00F74C7B">
        <w:rPr>
          <w:rStyle w:val="cf01"/>
          <w:rFonts w:ascii="Garamond" w:hAnsi="Garamond"/>
        </w:rPr>
        <w:t xml:space="preserve">Achuar, </w:t>
      </w:r>
      <w:r w:rsidRPr="00F74C7B">
        <w:rPr>
          <w:rStyle w:val="cf01"/>
          <w:rFonts w:ascii="Garamond" w:hAnsi="Garamond"/>
        </w:rPr>
        <w:t>amahuaca, arabela, ashaninka, awajún, bora, capanahua, cashinahua, chamicuro, ese eja, harakbut, iñapari, iquitu, isconahua, kakataibo, kakinte (caquinte), kandozi-chapra, kukama-kukamiria, madija (culina), maijuna, matsigenka, matses, muniche, murui-muinani, nanti, nomatsigenga, ocaina, omagua, resígaro, secoya, sharanahua, shawi, shipibo-konibo, shiwilu, taushiro, tikuna (ticuna), urarina, wampis, yagua, yaminahua, yanesha, yine, yora y (nahua) (Instituto de Investigação e Desenvolvimento em Política Linguística, 7 de junio del 2019).</w:t>
      </w:r>
    </w:p>
  </w:footnote>
  <w:footnote w:id="9">
    <w:p w14:paraId="672C309B" w14:textId="6284AF22"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w:t>
      </w:r>
      <w:r w:rsidRPr="00F74C7B">
        <w:rPr>
          <w:rStyle w:val="cf01"/>
          <w:rFonts w:ascii="Garamond" w:hAnsi="Garamond"/>
        </w:rPr>
        <w:t>Indicador elaborado por PNUD que mide 3 niveles de desarrollo humano: Esperanza de vida, educación (alfabetización) e ingreso per cápita.</w:t>
      </w:r>
    </w:p>
  </w:footnote>
  <w:footnote w:id="10">
    <w:p w14:paraId="1A150D8F" w14:textId="61C4DED8" w:rsidR="00486B68" w:rsidRDefault="00486B68">
      <w:pPr>
        <w:pStyle w:val="Textonotapie"/>
      </w:pPr>
      <w:r>
        <w:rPr>
          <w:rStyle w:val="Refdenotaalpie"/>
        </w:rPr>
        <w:footnoteRef/>
      </w:r>
      <w:r>
        <w:t xml:space="preserve"> </w:t>
      </w:r>
      <w:r w:rsidRPr="00486B68">
        <w:rPr>
          <w:rFonts w:ascii="Garamond" w:hAnsi="Garamond"/>
          <w:sz w:val="18"/>
          <w:szCs w:val="18"/>
        </w:rPr>
        <w:t xml:space="preserve">Para mayor detalle sobre el ranking mundial, se recomienda descargar el documento “Table 1: Human </w:t>
      </w:r>
      <w:r w:rsidRPr="00486B68">
        <w:rPr>
          <w:rFonts w:ascii="Garamond" w:hAnsi="Garamond"/>
          <w:sz w:val="18"/>
          <w:szCs w:val="18"/>
        </w:rPr>
        <w:t>Development Index and components” en la sección Data Downloads (PNUD, 2019)</w:t>
      </w:r>
    </w:p>
  </w:footnote>
  <w:footnote w:id="11">
    <w:p w14:paraId="1248E7FA" w14:textId="2E08E56D" w:rsidR="00486B68" w:rsidRDefault="00486B68">
      <w:pPr>
        <w:pStyle w:val="Textonotapie"/>
      </w:pPr>
      <w:r>
        <w:rPr>
          <w:rStyle w:val="Refdenotaalpie"/>
        </w:rPr>
        <w:footnoteRef/>
      </w:r>
      <w:r>
        <w:t xml:space="preserve"> </w:t>
      </w:r>
      <w:r w:rsidRPr="00486B68">
        <w:rPr>
          <w:rFonts w:ascii="Garamond" w:hAnsi="Garamond"/>
          <w:sz w:val="18"/>
          <w:szCs w:val="18"/>
        </w:rPr>
        <w:t>Un periodo de especial convulsión sociopolítica que configuró el perfil migratorio se desarrolló durante los años 80. En este periodo se observa un cambio importante del patrón migratorio en el cual el destino de migración cambia de Estados Unidos a Europa, Japón y países fronterizos (Meneses, 2012). Este cambio se debió, por una parte, por los cambios en la regulación migratoria estadounidense y, por otra, la violencia desatada de grupos subversivos como Sendero Luminoso y el Movimiento Revolucionario Túpac Amaru (Meneses, 2012).</w:t>
      </w:r>
    </w:p>
  </w:footnote>
  <w:footnote w:id="12">
    <w:p w14:paraId="30A730D6" w14:textId="1AE2A62D"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En quechua</w:t>
      </w:r>
    </w:p>
  </w:footnote>
  <w:footnote w:id="13">
    <w:p w14:paraId="42D56BD5" w14:textId="6599AF55"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En aimara</w:t>
      </w:r>
    </w:p>
  </w:footnote>
  <w:footnote w:id="14">
    <w:p w14:paraId="68F8D4C4" w14:textId="60DC5DD2"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En guaraní</w:t>
      </w:r>
    </w:p>
  </w:footnote>
  <w:footnote w:id="15">
    <w:p w14:paraId="43E55436" w14:textId="48350532" w:rsidR="00486B68" w:rsidRDefault="00486B68">
      <w:pPr>
        <w:pStyle w:val="Textonotapie"/>
      </w:pPr>
      <w:r>
        <w:rPr>
          <w:rStyle w:val="Refdenotaalpie"/>
        </w:rPr>
        <w:footnoteRef/>
      </w:r>
      <w:r>
        <w:t xml:space="preserve"> </w:t>
      </w:r>
      <w:r w:rsidR="00534738" w:rsidRPr="00534738">
        <w:rPr>
          <w:rFonts w:ascii="Garamond" w:hAnsi="Garamond"/>
          <w:sz w:val="18"/>
          <w:szCs w:val="18"/>
        </w:rPr>
        <w:t>Sobre este punto es importante considerar el rol de las remesas en la economía venezo</w:t>
      </w:r>
      <w:r w:rsidR="00534738">
        <w:rPr>
          <w:rFonts w:ascii="Garamond" w:hAnsi="Garamond"/>
          <w:sz w:val="18"/>
          <w:szCs w:val="18"/>
        </w:rPr>
        <w:t>la</w:t>
      </w:r>
      <w:r w:rsidR="00534738" w:rsidRPr="00534738">
        <w:rPr>
          <w:rFonts w:ascii="Garamond" w:hAnsi="Garamond"/>
          <w:sz w:val="18"/>
          <w:szCs w:val="18"/>
        </w:rPr>
        <w:t>na</w:t>
      </w:r>
      <w:r w:rsidR="001E7081">
        <w:rPr>
          <w:rFonts w:ascii="Garamond" w:hAnsi="Garamond"/>
          <w:sz w:val="18"/>
          <w:szCs w:val="18"/>
        </w:rPr>
        <w:t>, a pesar de que e</w:t>
      </w:r>
      <w:r w:rsidRPr="00486B68">
        <w:rPr>
          <w:rFonts w:ascii="Garamond" w:hAnsi="Garamond"/>
          <w:sz w:val="18"/>
          <w:szCs w:val="18"/>
        </w:rPr>
        <w:t>l efecto de las remesas sobre las familias y el PIB de Venezuela no son fielmente reportadas en cifras oficiales</w:t>
      </w:r>
      <w:r>
        <w:rPr>
          <w:rFonts w:ascii="Garamond" w:hAnsi="Garamond"/>
          <w:sz w:val="18"/>
          <w:szCs w:val="18"/>
        </w:rPr>
        <w:t>.</w:t>
      </w:r>
      <w:r w:rsidRPr="00486B68">
        <w:rPr>
          <w:rFonts w:ascii="Garamond" w:hAnsi="Garamond"/>
          <w:sz w:val="18"/>
          <w:szCs w:val="18"/>
        </w:rPr>
        <w:t xml:space="preserve"> </w:t>
      </w:r>
      <w:r>
        <w:rPr>
          <w:rFonts w:ascii="Garamond" w:hAnsi="Garamond"/>
          <w:sz w:val="18"/>
          <w:szCs w:val="18"/>
        </w:rPr>
        <w:t>N</w:t>
      </w:r>
      <w:r w:rsidRPr="00486B68">
        <w:rPr>
          <w:rFonts w:ascii="Garamond" w:hAnsi="Garamond"/>
          <w:sz w:val="18"/>
          <w:szCs w:val="18"/>
        </w:rPr>
        <w:t xml:space="preserve">o obstante, hay </w:t>
      </w:r>
      <w:r w:rsidR="001E7081">
        <w:rPr>
          <w:rFonts w:ascii="Garamond" w:hAnsi="Garamond"/>
          <w:sz w:val="18"/>
          <w:szCs w:val="18"/>
        </w:rPr>
        <w:t>e</w:t>
      </w:r>
      <w:r w:rsidRPr="00486B68">
        <w:rPr>
          <w:rFonts w:ascii="Garamond" w:hAnsi="Garamond"/>
          <w:sz w:val="18"/>
          <w:szCs w:val="18"/>
        </w:rPr>
        <w:t xml:space="preserve">studios </w:t>
      </w:r>
      <w:r w:rsidR="001E7081">
        <w:rPr>
          <w:rFonts w:ascii="Garamond" w:hAnsi="Garamond"/>
          <w:sz w:val="18"/>
          <w:szCs w:val="18"/>
        </w:rPr>
        <w:t>que han demostrado la relevancia en el PIB de las remesas provenientes de</w:t>
      </w:r>
      <w:r w:rsidRPr="00486B68">
        <w:rPr>
          <w:rFonts w:ascii="Garamond" w:hAnsi="Garamond"/>
          <w:sz w:val="18"/>
          <w:szCs w:val="18"/>
        </w:rPr>
        <w:t xml:space="preserve"> países específicos como Colombia </w:t>
      </w:r>
      <w:r w:rsidR="001E7081">
        <w:rPr>
          <w:rFonts w:ascii="Garamond" w:hAnsi="Garamond"/>
          <w:sz w:val="18"/>
          <w:szCs w:val="18"/>
        </w:rPr>
        <w:t xml:space="preserve">o Ecuador </w:t>
      </w:r>
      <w:r w:rsidRPr="00486B68">
        <w:rPr>
          <w:rFonts w:ascii="Garamond" w:hAnsi="Garamond"/>
          <w:sz w:val="18"/>
          <w:szCs w:val="18"/>
        </w:rPr>
        <w:t>(Torres, 2019; Bajaña, 2020)</w:t>
      </w:r>
      <w:r w:rsidR="001E7081">
        <w:rPr>
          <w:rFonts w:ascii="Garamond" w:hAnsi="Garamond"/>
          <w:sz w:val="18"/>
          <w:szCs w:val="18"/>
        </w:rPr>
        <w:t>,</w:t>
      </w:r>
      <w:r w:rsidRPr="00486B68">
        <w:rPr>
          <w:rFonts w:ascii="Garamond" w:hAnsi="Garamond"/>
          <w:sz w:val="18"/>
          <w:szCs w:val="18"/>
        </w:rPr>
        <w:t xml:space="preserve"> </w:t>
      </w:r>
      <w:r w:rsidR="001E7081">
        <w:rPr>
          <w:rFonts w:ascii="Garamond" w:hAnsi="Garamond"/>
          <w:sz w:val="18"/>
          <w:szCs w:val="18"/>
        </w:rPr>
        <w:t xml:space="preserve">o </w:t>
      </w:r>
      <w:r w:rsidRPr="00486B68">
        <w:rPr>
          <w:rFonts w:ascii="Garamond" w:hAnsi="Garamond"/>
          <w:sz w:val="18"/>
          <w:szCs w:val="18"/>
        </w:rPr>
        <w:t>que han calculado el efecto del flujo total estimado de remesas en la pobreza del país (Castellano y Goncalves, 2019), el cual ascendería a casi 71,5 millones de dólares (cumpliéndose ciertos supuestos) (Castellano y Goncalves, 2019).</w:t>
      </w:r>
    </w:p>
  </w:footnote>
  <w:footnote w:id="16">
    <w:p w14:paraId="127E74CC" w14:textId="74C0EB70"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En criollo haitiano</w:t>
      </w:r>
    </w:p>
  </w:footnote>
  <w:footnote w:id="17">
    <w:p w14:paraId="38564F1A" w14:textId="2FAF3842" w:rsidR="00526758" w:rsidRPr="00F74C7B" w:rsidRDefault="00526758">
      <w:pPr>
        <w:pStyle w:val="Textonotapie"/>
        <w:rPr>
          <w:rFonts w:ascii="Garamond" w:hAnsi="Garamond"/>
          <w:sz w:val="18"/>
          <w:szCs w:val="18"/>
        </w:rPr>
      </w:pPr>
      <w:r w:rsidRPr="00F74C7B">
        <w:rPr>
          <w:rStyle w:val="Refdenotaalpie"/>
          <w:rFonts w:ascii="Garamond" w:hAnsi="Garamond"/>
          <w:sz w:val="18"/>
          <w:szCs w:val="18"/>
        </w:rPr>
        <w:footnoteRef/>
      </w:r>
      <w:r w:rsidRPr="00F74C7B">
        <w:rPr>
          <w:rFonts w:ascii="Garamond" w:hAnsi="Garamond"/>
          <w:sz w:val="18"/>
          <w:szCs w:val="18"/>
        </w:rPr>
        <w:t xml:space="preserve"> En francés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0869" w14:textId="04394DB8" w:rsidR="00526758" w:rsidRDefault="00526758">
    <w:pPr>
      <w:pStyle w:val="Encabezado"/>
    </w:pPr>
    <w:r>
      <w:rPr>
        <w:rFonts w:ascii="Cambria" w:hAnsi="Cambria" w:cs="Arial"/>
        <w:noProof/>
        <w:sz w:val="24"/>
        <w:lang w:val="es-ES"/>
      </w:rPr>
      <w:drawing>
        <wp:anchor distT="0" distB="0" distL="114300" distR="114300" simplePos="0" relativeHeight="251658240" behindDoc="0" locked="0" layoutInCell="1" allowOverlap="1" wp14:anchorId="6998B6BF" wp14:editId="5F1FB681">
          <wp:simplePos x="0" y="0"/>
          <wp:positionH relativeFrom="column">
            <wp:posOffset>-670560</wp:posOffset>
          </wp:positionH>
          <wp:positionV relativeFrom="paragraph">
            <wp:posOffset>-316230</wp:posOffset>
          </wp:positionV>
          <wp:extent cx="952500" cy="781050"/>
          <wp:effectExtent l="0" t="0" r="0" b="0"/>
          <wp:wrapSquare wrapText="bothSides"/>
          <wp:docPr id="13" name="Imagen 1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B2DDE12" wp14:editId="24437551">
          <wp:simplePos x="0" y="0"/>
          <wp:positionH relativeFrom="column">
            <wp:posOffset>4120515</wp:posOffset>
          </wp:positionH>
          <wp:positionV relativeFrom="paragraph">
            <wp:posOffset>-259080</wp:posOffset>
          </wp:positionV>
          <wp:extent cx="1390650" cy="6477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49616" t="-8928" b="-1"/>
                  <a:stretch/>
                </pic:blipFill>
                <pic:spPr bwMode="auto">
                  <a:xfrm>
                    <a:off x="0" y="0"/>
                    <a:ext cx="139065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A6A8E8" wp14:editId="0C2FF2A1">
          <wp:simplePos x="0" y="0"/>
          <wp:positionH relativeFrom="column">
            <wp:posOffset>5398135</wp:posOffset>
          </wp:positionH>
          <wp:positionV relativeFrom="paragraph">
            <wp:posOffset>-278130</wp:posOffset>
          </wp:positionV>
          <wp:extent cx="1256030" cy="628015"/>
          <wp:effectExtent l="0" t="0" r="1270" b="63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t="-2912" r="55617"/>
                  <a:stretch/>
                </pic:blipFill>
                <pic:spPr bwMode="auto">
                  <a:xfrm>
                    <a:off x="0" y="0"/>
                    <a:ext cx="1256030" cy="628015"/>
                  </a:xfrm>
                  <a:prstGeom prst="rect">
                    <a:avLst/>
                  </a:prstGeom>
                  <a:noFill/>
                  <a:ln>
                    <a:noFill/>
                  </a:ln>
                  <a:extLst>
                    <a:ext uri="{53640926-AAD7-44D8-BBD7-CCE9431645EC}">
                      <a14:shadowObscured xmlns:a14="http://schemas.microsoft.com/office/drawing/2010/main"/>
                    </a:ext>
                  </a:extLst>
                </pic:spPr>
              </pic:pic>
            </a:graphicData>
          </a:graphic>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50072"/>
    <w:multiLevelType w:val="hybridMultilevel"/>
    <w:tmpl w:val="B1429D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268287C"/>
    <w:multiLevelType w:val="hybridMultilevel"/>
    <w:tmpl w:val="9F2E0F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59A3663"/>
    <w:multiLevelType w:val="hybridMultilevel"/>
    <w:tmpl w:val="AB824A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CA730BE"/>
    <w:multiLevelType w:val="hybridMultilevel"/>
    <w:tmpl w:val="44DE57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05A276C"/>
    <w:multiLevelType w:val="hybridMultilevel"/>
    <w:tmpl w:val="1202504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A5B7E0A"/>
    <w:multiLevelType w:val="hybridMultilevel"/>
    <w:tmpl w:val="569AE8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D731EAE"/>
    <w:multiLevelType w:val="hybridMultilevel"/>
    <w:tmpl w:val="51246A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F695B51"/>
    <w:multiLevelType w:val="hybridMultilevel"/>
    <w:tmpl w:val="1C2079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7B82153"/>
    <w:multiLevelType w:val="multilevel"/>
    <w:tmpl w:val="46189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8871C48"/>
    <w:multiLevelType w:val="hybridMultilevel"/>
    <w:tmpl w:val="3E54787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CCC590E"/>
    <w:multiLevelType w:val="multilevel"/>
    <w:tmpl w:val="49C0E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4214735">
    <w:abstractNumId w:val="8"/>
  </w:num>
  <w:num w:numId="2" w16cid:durableId="226576096">
    <w:abstractNumId w:val="10"/>
  </w:num>
  <w:num w:numId="3" w16cid:durableId="390622170">
    <w:abstractNumId w:val="3"/>
  </w:num>
  <w:num w:numId="4" w16cid:durableId="1177228049">
    <w:abstractNumId w:val="9"/>
  </w:num>
  <w:num w:numId="5" w16cid:durableId="1211385725">
    <w:abstractNumId w:val="4"/>
  </w:num>
  <w:num w:numId="6" w16cid:durableId="987706249">
    <w:abstractNumId w:val="0"/>
  </w:num>
  <w:num w:numId="7" w16cid:durableId="2052074496">
    <w:abstractNumId w:val="1"/>
  </w:num>
  <w:num w:numId="8" w16cid:durableId="646282452">
    <w:abstractNumId w:val="5"/>
  </w:num>
  <w:num w:numId="9" w16cid:durableId="37634093">
    <w:abstractNumId w:val="2"/>
  </w:num>
  <w:num w:numId="10" w16cid:durableId="992371344">
    <w:abstractNumId w:val="7"/>
  </w:num>
  <w:num w:numId="11" w16cid:durableId="10542369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0EA"/>
    <w:rsid w:val="00016F5C"/>
    <w:rsid w:val="00031240"/>
    <w:rsid w:val="00034833"/>
    <w:rsid w:val="00042F99"/>
    <w:rsid w:val="00050FF8"/>
    <w:rsid w:val="0007256D"/>
    <w:rsid w:val="000956D0"/>
    <w:rsid w:val="000A700C"/>
    <w:rsid w:val="000C3FFE"/>
    <w:rsid w:val="000D7599"/>
    <w:rsid w:val="001148BD"/>
    <w:rsid w:val="0016477F"/>
    <w:rsid w:val="00167D05"/>
    <w:rsid w:val="001801FC"/>
    <w:rsid w:val="001B0645"/>
    <w:rsid w:val="001C07A7"/>
    <w:rsid w:val="001D459E"/>
    <w:rsid w:val="001E7081"/>
    <w:rsid w:val="002060A3"/>
    <w:rsid w:val="002147BB"/>
    <w:rsid w:val="00221424"/>
    <w:rsid w:val="0022534D"/>
    <w:rsid w:val="002430E3"/>
    <w:rsid w:val="002620F8"/>
    <w:rsid w:val="00293B47"/>
    <w:rsid w:val="00296630"/>
    <w:rsid w:val="002A1547"/>
    <w:rsid w:val="002C1A26"/>
    <w:rsid w:val="002C3743"/>
    <w:rsid w:val="002C5E88"/>
    <w:rsid w:val="0031096E"/>
    <w:rsid w:val="003237B3"/>
    <w:rsid w:val="0033728D"/>
    <w:rsid w:val="00396EB2"/>
    <w:rsid w:val="003E2C7C"/>
    <w:rsid w:val="003F5FD2"/>
    <w:rsid w:val="004021E9"/>
    <w:rsid w:val="0042100E"/>
    <w:rsid w:val="00445CFA"/>
    <w:rsid w:val="004566A6"/>
    <w:rsid w:val="00463D89"/>
    <w:rsid w:val="00473185"/>
    <w:rsid w:val="00486B68"/>
    <w:rsid w:val="004C1594"/>
    <w:rsid w:val="00500ED2"/>
    <w:rsid w:val="00521A52"/>
    <w:rsid w:val="005226C9"/>
    <w:rsid w:val="0052445E"/>
    <w:rsid w:val="00526758"/>
    <w:rsid w:val="00532D4F"/>
    <w:rsid w:val="00534738"/>
    <w:rsid w:val="00551E1C"/>
    <w:rsid w:val="005600D4"/>
    <w:rsid w:val="0056068C"/>
    <w:rsid w:val="00580A19"/>
    <w:rsid w:val="005A4B8C"/>
    <w:rsid w:val="005C2D5D"/>
    <w:rsid w:val="00634B3D"/>
    <w:rsid w:val="0066414F"/>
    <w:rsid w:val="00665DB9"/>
    <w:rsid w:val="006C6AE2"/>
    <w:rsid w:val="006D37A7"/>
    <w:rsid w:val="006E4775"/>
    <w:rsid w:val="006E7448"/>
    <w:rsid w:val="0072664C"/>
    <w:rsid w:val="00745CE9"/>
    <w:rsid w:val="00761ACB"/>
    <w:rsid w:val="00774DB4"/>
    <w:rsid w:val="00794158"/>
    <w:rsid w:val="007B2F80"/>
    <w:rsid w:val="007C5732"/>
    <w:rsid w:val="007D1B38"/>
    <w:rsid w:val="007F07DF"/>
    <w:rsid w:val="007F24B3"/>
    <w:rsid w:val="00820F66"/>
    <w:rsid w:val="00822B16"/>
    <w:rsid w:val="00823909"/>
    <w:rsid w:val="008309A1"/>
    <w:rsid w:val="00843D2E"/>
    <w:rsid w:val="0085204E"/>
    <w:rsid w:val="00890158"/>
    <w:rsid w:val="008977AC"/>
    <w:rsid w:val="008A25E6"/>
    <w:rsid w:val="008A52FA"/>
    <w:rsid w:val="008B4111"/>
    <w:rsid w:val="008B5FF5"/>
    <w:rsid w:val="00903704"/>
    <w:rsid w:val="00905B9C"/>
    <w:rsid w:val="009143A1"/>
    <w:rsid w:val="00921916"/>
    <w:rsid w:val="00934A4B"/>
    <w:rsid w:val="00936463"/>
    <w:rsid w:val="00952022"/>
    <w:rsid w:val="00952FB7"/>
    <w:rsid w:val="00962B70"/>
    <w:rsid w:val="009A42EB"/>
    <w:rsid w:val="009C50EA"/>
    <w:rsid w:val="009C58C5"/>
    <w:rsid w:val="009E4E10"/>
    <w:rsid w:val="009F7915"/>
    <w:rsid w:val="00A14E50"/>
    <w:rsid w:val="00A278BB"/>
    <w:rsid w:val="00A34735"/>
    <w:rsid w:val="00A3557D"/>
    <w:rsid w:val="00A657A6"/>
    <w:rsid w:val="00AA1CC6"/>
    <w:rsid w:val="00AA59EE"/>
    <w:rsid w:val="00AB7DBF"/>
    <w:rsid w:val="00AC3C99"/>
    <w:rsid w:val="00AC77EC"/>
    <w:rsid w:val="00AD3F24"/>
    <w:rsid w:val="00B10425"/>
    <w:rsid w:val="00B83F0F"/>
    <w:rsid w:val="00B909C3"/>
    <w:rsid w:val="00B90F58"/>
    <w:rsid w:val="00B93CBF"/>
    <w:rsid w:val="00BA2115"/>
    <w:rsid w:val="00BA2FE6"/>
    <w:rsid w:val="00BA43B8"/>
    <w:rsid w:val="00BA4E24"/>
    <w:rsid w:val="00BD07E0"/>
    <w:rsid w:val="00BE3B21"/>
    <w:rsid w:val="00C317D4"/>
    <w:rsid w:val="00C438ED"/>
    <w:rsid w:val="00C65605"/>
    <w:rsid w:val="00C668F3"/>
    <w:rsid w:val="00C73E8F"/>
    <w:rsid w:val="00C75DBA"/>
    <w:rsid w:val="00C87E33"/>
    <w:rsid w:val="00C92281"/>
    <w:rsid w:val="00C9762A"/>
    <w:rsid w:val="00CA6796"/>
    <w:rsid w:val="00CB4B90"/>
    <w:rsid w:val="00CC2B1D"/>
    <w:rsid w:val="00CC53F7"/>
    <w:rsid w:val="00CC7227"/>
    <w:rsid w:val="00D53DC4"/>
    <w:rsid w:val="00D85B60"/>
    <w:rsid w:val="00DA1F54"/>
    <w:rsid w:val="00DC4033"/>
    <w:rsid w:val="00DD6547"/>
    <w:rsid w:val="00DD6B58"/>
    <w:rsid w:val="00DE2671"/>
    <w:rsid w:val="00E039D8"/>
    <w:rsid w:val="00E202AD"/>
    <w:rsid w:val="00E213C4"/>
    <w:rsid w:val="00E435BD"/>
    <w:rsid w:val="00E45702"/>
    <w:rsid w:val="00E62E0D"/>
    <w:rsid w:val="00E64D6A"/>
    <w:rsid w:val="00E652DE"/>
    <w:rsid w:val="00E67F59"/>
    <w:rsid w:val="00E9555C"/>
    <w:rsid w:val="00EA4860"/>
    <w:rsid w:val="00EE4BB7"/>
    <w:rsid w:val="00F139D8"/>
    <w:rsid w:val="00F62FE0"/>
    <w:rsid w:val="00F74C7B"/>
    <w:rsid w:val="00F90C13"/>
    <w:rsid w:val="00FA158E"/>
    <w:rsid w:val="00FC6E17"/>
    <w:rsid w:val="00FE6FD0"/>
    <w:rsid w:val="00FF54F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27B39"/>
  <w15:docId w15:val="{9FAD6D9E-4FEC-4086-9AD3-4D3497B19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0F2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34BAD"/>
    <w:rPr>
      <w:sz w:val="16"/>
      <w:szCs w:val="16"/>
    </w:rPr>
  </w:style>
  <w:style w:type="paragraph" w:styleId="Textocomentario">
    <w:name w:val="annotation text"/>
    <w:basedOn w:val="Normal"/>
    <w:link w:val="TextocomentarioCar"/>
    <w:uiPriority w:val="99"/>
    <w:unhideWhenUsed/>
    <w:rsid w:val="00534BAD"/>
    <w:pPr>
      <w:spacing w:line="240" w:lineRule="auto"/>
    </w:pPr>
    <w:rPr>
      <w:sz w:val="20"/>
      <w:szCs w:val="20"/>
    </w:rPr>
  </w:style>
  <w:style w:type="character" w:customStyle="1" w:styleId="TextocomentarioCar">
    <w:name w:val="Texto comentario Car"/>
    <w:basedOn w:val="Fuentedeprrafopredeter"/>
    <w:link w:val="Textocomentario"/>
    <w:uiPriority w:val="99"/>
    <w:rsid w:val="00534BAD"/>
    <w:rPr>
      <w:sz w:val="20"/>
      <w:szCs w:val="20"/>
    </w:rPr>
  </w:style>
  <w:style w:type="paragraph" w:styleId="Asuntodelcomentario">
    <w:name w:val="annotation subject"/>
    <w:basedOn w:val="Textocomentario"/>
    <w:next w:val="Textocomentario"/>
    <w:link w:val="AsuntodelcomentarioCar"/>
    <w:uiPriority w:val="99"/>
    <w:semiHidden/>
    <w:unhideWhenUsed/>
    <w:rsid w:val="00534BAD"/>
    <w:rPr>
      <w:b/>
      <w:bCs/>
    </w:rPr>
  </w:style>
  <w:style w:type="character" w:customStyle="1" w:styleId="AsuntodelcomentarioCar">
    <w:name w:val="Asunto del comentario Car"/>
    <w:basedOn w:val="TextocomentarioCar"/>
    <w:link w:val="Asuntodelcomentario"/>
    <w:uiPriority w:val="99"/>
    <w:semiHidden/>
    <w:rsid w:val="00534BAD"/>
    <w:rPr>
      <w:b/>
      <w:bCs/>
      <w:sz w:val="20"/>
      <w:szCs w:val="20"/>
    </w:rPr>
  </w:style>
  <w:style w:type="paragraph" w:styleId="Textodeglobo">
    <w:name w:val="Balloon Text"/>
    <w:basedOn w:val="Normal"/>
    <w:link w:val="TextodegloboCar"/>
    <w:uiPriority w:val="99"/>
    <w:semiHidden/>
    <w:unhideWhenUsed/>
    <w:rsid w:val="00534B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4BAD"/>
    <w:rPr>
      <w:rFonts w:ascii="Segoe UI" w:hAnsi="Segoe UI" w:cs="Segoe UI"/>
      <w:sz w:val="18"/>
      <w:szCs w:val="18"/>
    </w:rPr>
  </w:style>
  <w:style w:type="paragraph" w:styleId="Revisin">
    <w:name w:val="Revision"/>
    <w:hidden/>
    <w:uiPriority w:val="99"/>
    <w:semiHidden/>
    <w:rsid w:val="00534BAD"/>
    <w:pPr>
      <w:spacing w:after="0" w:line="240" w:lineRule="auto"/>
    </w:pPr>
  </w:style>
  <w:style w:type="character" w:styleId="Hipervnculo">
    <w:name w:val="Hyperlink"/>
    <w:basedOn w:val="Fuentedeprrafopredeter"/>
    <w:uiPriority w:val="99"/>
    <w:unhideWhenUsed/>
    <w:rsid w:val="00BA1F87"/>
    <w:rPr>
      <w:color w:val="0563C1" w:themeColor="hyperlink"/>
      <w:u w:val="single"/>
    </w:rPr>
  </w:style>
  <w:style w:type="character" w:styleId="Mencinsinresolver">
    <w:name w:val="Unresolved Mention"/>
    <w:basedOn w:val="Fuentedeprrafopredeter"/>
    <w:uiPriority w:val="99"/>
    <w:semiHidden/>
    <w:unhideWhenUsed/>
    <w:rsid w:val="00BA1F87"/>
    <w:rPr>
      <w:color w:val="605E5C"/>
      <w:shd w:val="clear" w:color="auto" w:fill="E1DFDD"/>
    </w:rPr>
  </w:style>
  <w:style w:type="paragraph" w:styleId="Textonotapie">
    <w:name w:val="footnote text"/>
    <w:aliases w:val="Nota al pie,Footnote,Texto,nota,pie,Ref.,al,fn,single space,FOOTNOTES,Footnote Text qer,Footnote Text Char1,Footnote Text Char Char"/>
    <w:basedOn w:val="Normal"/>
    <w:link w:val="TextonotapieCar"/>
    <w:uiPriority w:val="99"/>
    <w:unhideWhenUsed/>
    <w:qFormat/>
    <w:rsid w:val="0042094B"/>
    <w:pPr>
      <w:spacing w:after="0" w:line="240" w:lineRule="auto"/>
    </w:pPr>
    <w:rPr>
      <w:sz w:val="20"/>
      <w:szCs w:val="20"/>
    </w:rPr>
  </w:style>
  <w:style w:type="character" w:customStyle="1" w:styleId="TextonotapieCar">
    <w:name w:val="Texto nota pie Car"/>
    <w:aliases w:val="Nota al pie Car,Footnote Car,Texto Car,nota Car,pie Car,Ref. Car,al Car,fn Car,single space Car,FOOTNOTES Car,Footnote Text qer Car,Footnote Text Char1 Car,Footnote Text Char Char Car"/>
    <w:basedOn w:val="Fuentedeprrafopredeter"/>
    <w:link w:val="Textonotapie"/>
    <w:uiPriority w:val="99"/>
    <w:rsid w:val="0042094B"/>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Ref. de nota al"/>
    <w:basedOn w:val="Fuentedeprrafopredeter"/>
    <w:link w:val="BVIfnrCharCharCharChar"/>
    <w:uiPriority w:val="99"/>
    <w:unhideWhenUsed/>
    <w:qFormat/>
    <w:rsid w:val="0042094B"/>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character" w:customStyle="1" w:styleId="cf01">
    <w:name w:val="cf01"/>
    <w:basedOn w:val="Fuentedeprrafopredeter"/>
    <w:rsid w:val="000A700C"/>
    <w:rPr>
      <w:rFonts w:ascii="Segoe UI" w:hAnsi="Segoe UI" w:cs="Segoe UI" w:hint="default"/>
      <w:sz w:val="18"/>
      <w:szCs w:val="18"/>
    </w:rPr>
  </w:style>
  <w:style w:type="paragraph" w:styleId="Prrafodelista">
    <w:name w:val="List Paragraph"/>
    <w:aliases w:val="Párrafo,Sub Titulo Paper,Heading 2_sj,titulo 5,Lista multicolor - Énfasis 11"/>
    <w:basedOn w:val="Normal"/>
    <w:link w:val="PrrafodelistaCar"/>
    <w:uiPriority w:val="34"/>
    <w:qFormat/>
    <w:rsid w:val="00E202AD"/>
    <w:pPr>
      <w:ind w:left="720"/>
      <w:contextualSpacing/>
    </w:pPr>
  </w:style>
  <w:style w:type="character" w:customStyle="1" w:styleId="PrrafodelistaCar">
    <w:name w:val="Párrafo de lista Car"/>
    <w:aliases w:val="Párrafo Car,Sub Titulo Paper Car,Heading 2_sj Car,titulo 5 Car,Lista multicolor - Énfasis 11 Car"/>
    <w:link w:val="Prrafodelista"/>
    <w:uiPriority w:val="34"/>
    <w:rsid w:val="00EE4BB7"/>
  </w:style>
  <w:style w:type="paragraph" w:customStyle="1" w:styleId="BVIfnrCharCharCharChar">
    <w:name w:val="BVI fnr Char Char Char Char"/>
    <w:aliases w:val=" BVI fnr Car Car Char Char Char Char,BVI fnr Car Char Char Char Char, BVI fnr Car Car Car Car Char Char Char Char,BVI fnr Car Car Char Char Char Char,BVI fnr Car Car Car Car Char Char Char Char, BVI fnr Char Char Char Char"/>
    <w:basedOn w:val="Normal"/>
    <w:link w:val="Refdenotaalpie"/>
    <w:uiPriority w:val="99"/>
    <w:rsid w:val="00EE4BB7"/>
    <w:pPr>
      <w:spacing w:line="240" w:lineRule="exact"/>
    </w:pPr>
    <w:rPr>
      <w:vertAlign w:val="superscript"/>
    </w:rPr>
  </w:style>
  <w:style w:type="paragraph" w:styleId="Encabezado">
    <w:name w:val="header"/>
    <w:basedOn w:val="Normal"/>
    <w:link w:val="EncabezadoCar"/>
    <w:uiPriority w:val="99"/>
    <w:unhideWhenUsed/>
    <w:rsid w:val="00C317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17D4"/>
  </w:style>
  <w:style w:type="paragraph" w:styleId="Piedepgina">
    <w:name w:val="footer"/>
    <w:basedOn w:val="Normal"/>
    <w:link w:val="PiedepginaCar"/>
    <w:uiPriority w:val="99"/>
    <w:unhideWhenUsed/>
    <w:rsid w:val="00C317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17D4"/>
  </w:style>
  <w:style w:type="paragraph" w:styleId="TtuloTDC">
    <w:name w:val="TOC Heading"/>
    <w:basedOn w:val="Ttulo1"/>
    <w:next w:val="Normal"/>
    <w:uiPriority w:val="39"/>
    <w:unhideWhenUsed/>
    <w:qFormat/>
    <w:rsid w:val="00F74C7B"/>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F74C7B"/>
    <w:pPr>
      <w:spacing w:after="100"/>
    </w:pPr>
  </w:style>
  <w:style w:type="paragraph" w:styleId="TDC2">
    <w:name w:val="toc 2"/>
    <w:basedOn w:val="Normal"/>
    <w:next w:val="Normal"/>
    <w:autoRedefine/>
    <w:uiPriority w:val="39"/>
    <w:unhideWhenUsed/>
    <w:rsid w:val="00F74C7B"/>
    <w:pPr>
      <w:spacing w:after="100"/>
      <w:ind w:left="220"/>
    </w:pPr>
  </w:style>
  <w:style w:type="paragraph" w:styleId="TDC3">
    <w:name w:val="toc 3"/>
    <w:basedOn w:val="Normal"/>
    <w:next w:val="Normal"/>
    <w:autoRedefine/>
    <w:uiPriority w:val="39"/>
    <w:unhideWhenUsed/>
    <w:rsid w:val="00F74C7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170578">
      <w:bodyDiv w:val="1"/>
      <w:marLeft w:val="0"/>
      <w:marRight w:val="0"/>
      <w:marTop w:val="0"/>
      <w:marBottom w:val="0"/>
      <w:divBdr>
        <w:top w:val="none" w:sz="0" w:space="0" w:color="auto"/>
        <w:left w:val="none" w:sz="0" w:space="0" w:color="auto"/>
        <w:bottom w:val="none" w:sz="0" w:space="0" w:color="auto"/>
        <w:right w:val="none" w:sz="0" w:space="0" w:color="auto"/>
      </w:divBdr>
    </w:div>
    <w:div w:id="1592471308">
      <w:bodyDiv w:val="1"/>
      <w:marLeft w:val="0"/>
      <w:marRight w:val="0"/>
      <w:marTop w:val="0"/>
      <w:marBottom w:val="0"/>
      <w:divBdr>
        <w:top w:val="none" w:sz="0" w:space="0" w:color="auto"/>
        <w:left w:val="none" w:sz="0" w:space="0" w:color="auto"/>
        <w:bottom w:val="none" w:sz="0" w:space="0" w:color="auto"/>
        <w:right w:val="none" w:sz="0" w:space="0" w:color="auto"/>
      </w:divBdr>
    </w:div>
    <w:div w:id="207816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mailto:ebertarelli@conpersantiago.cl" TargetMode="External"/><Relationship Id="rId42" Type="http://schemas.openxmlformats.org/officeDocument/2006/relationships/hyperlink" Target="https://datos.bancomundial.org/indicador/SI.POV.UMIC?locations=PE" TargetMode="External"/><Relationship Id="rId47" Type="http://schemas.openxmlformats.org/officeDocument/2006/relationships/hyperlink" Target="https://datosmacro.expansion.com/demografia/estructura-poblacion/venezuela" TargetMode="External"/><Relationship Id="rId63" Type="http://schemas.openxmlformats.org/officeDocument/2006/relationships/hyperlink" Target="http://www.exteriores.gob.es/Documents/FichasPais/COLOMBIA_FICHA%20PAIS.pdf" TargetMode="External"/><Relationship Id="rId68" Type="http://schemas.openxmlformats.org/officeDocument/2006/relationships/hyperlink" Target="https://peru.unfpa.org/sites/default/files/pub-pdf/Publicacio%CC%81n%20NU%20FINAL_OK_VIRTUAL_0.pdf" TargetMode="External"/><Relationship Id="rId84" Type="http://schemas.openxmlformats.org/officeDocument/2006/relationships/hyperlink" Target="https://legadosolidario.unicef.org.co/conecta-con-unicef/panorama-ninas-ninos-colombia" TargetMode="External"/><Relationship Id="rId16" Type="http://schemas.openxmlformats.org/officeDocument/2006/relationships/hyperlink" Target="mailto:csantiago@cancilleria.gov.co" TargetMode="External"/><Relationship Id="rId11" Type="http://schemas.openxmlformats.org/officeDocument/2006/relationships/header" Target="header1.xml"/><Relationship Id="rId32" Type="http://schemas.openxmlformats.org/officeDocument/2006/relationships/hyperlink" Target="https://datos.bancomundial.org/indicador/VC.IHR.PSRC.P5?locations=DO" TargetMode="External"/><Relationship Id="rId37" Type="http://schemas.openxmlformats.org/officeDocument/2006/relationships/hyperlink" Target="mailto:consulat@embajadahaiti.cl" TargetMode="External"/><Relationship Id="rId53" Type="http://schemas.openxmlformats.org/officeDocument/2006/relationships/hyperlink" Target="https://assets.website-files.com/5caccaedb32e39d3c7d6819e/60ca56b482e4657859f49d29_migracion-venezolana-sistematizacion-de-articulos_.pdf" TargetMode="External"/><Relationship Id="rId58" Type="http://schemas.openxmlformats.org/officeDocument/2006/relationships/hyperlink" Target="https://www.inei.gob.pe/media/MenuRecursivo/publicaciones_digitales/Est/Lib1749/libro.pdf" TargetMode="External"/><Relationship Id="rId74" Type="http://schemas.openxmlformats.org/officeDocument/2006/relationships/hyperlink" Target="https://kmhub.iom.int/sites/default/files/perfil_migratorio_rd.pdf" TargetMode="External"/><Relationship Id="rId79" Type="http://schemas.openxmlformats.org/officeDocument/2006/relationships/hyperlink" Target="https://hdr.undp.org/data-center/human-development-index" TargetMode="External"/><Relationship Id="rId5" Type="http://schemas.openxmlformats.org/officeDocument/2006/relationships/settings" Target="settings.xml"/><Relationship Id="rId19" Type="http://schemas.openxmlformats.org/officeDocument/2006/relationships/image" Target="media/image6.png"/><Relationship Id="rId14" Type="http://schemas.openxmlformats.org/officeDocument/2006/relationships/hyperlink" Target="mailto:echile@cancilleria.gov.co" TargetMode="External"/><Relationship Id="rId22" Type="http://schemas.openxmlformats.org/officeDocument/2006/relationships/hyperlink" Target="mailto:portalwebarica@rree.gob.pe" TargetMode="External"/><Relationship Id="rId27" Type="http://schemas.openxmlformats.org/officeDocument/2006/relationships/hyperlink" Target="mailto:colivian.antofagasta@gmail.com" TargetMode="External"/><Relationship Id="rId30" Type="http://schemas.openxmlformats.org/officeDocument/2006/relationships/image" Target="media/image9.png"/><Relationship Id="rId35" Type="http://schemas.openxmlformats.org/officeDocument/2006/relationships/hyperlink" Target="mailto:embajada@embajadahaiti.cl" TargetMode="External"/><Relationship Id="rId43" Type="http://schemas.openxmlformats.org/officeDocument/2006/relationships/hyperlink" Target="https://cpi.pe/images/upload/paginaweb/archivo/23/poblacion%202022.pdf" TargetMode="External"/><Relationship Id="rId48" Type="http://schemas.openxmlformats.org/officeDocument/2006/relationships/hyperlink" Target="https://www.unicef.org/venezuela/media/541/file/Diagno%CC%81stico-Defensorial-medidas-No-privativas-de-libertad-Sistema-Penal-de-Responsabilidad-de-Adolescentes.pdf" TargetMode="External"/><Relationship Id="rId56" Type="http://schemas.openxmlformats.org/officeDocument/2006/relationships/hyperlink" Target="https://www.inei.gob.pe/media/MenuRecursivo/boletines/presntacion_migraciones.pdf" TargetMode="External"/><Relationship Id="rId64" Type="http://schemas.openxmlformats.org/officeDocument/2006/relationships/hyperlink" Target="https://www.exteriores.gob.es/Documents/FichasPais/HAITI_FICHA%20PAIS.pdf" TargetMode="External"/><Relationship Id="rId69" Type="http://schemas.openxmlformats.org/officeDocument/2006/relationships/hyperlink" Target="http://enfoquesocial.gob.do/media/23962/boletin-27-migracion-final.pdf" TargetMode="External"/><Relationship Id="rId77" Type="http://schemas.openxmlformats.org/officeDocument/2006/relationships/hyperlink" Target="https://www.one.gob.do/datos-y-estadisticas/temas/estadisticas-demograficas/estimaciones-y-proyecciones-demograficas/" TargetMode="External"/><Relationship Id="rId8" Type="http://schemas.openxmlformats.org/officeDocument/2006/relationships/endnotes" Target="endnotes.xml"/><Relationship Id="rId51" Type="http://schemas.openxmlformats.org/officeDocument/2006/relationships/hyperlink" Target="https://dominicanrepublic.unfpa.org/sites/default/files/pub-pdf/AnalisisSaludPoblacionExtranjera.pdf" TargetMode="External"/><Relationship Id="rId72" Type="http://schemas.openxmlformats.org/officeDocument/2006/relationships/hyperlink" Target="https://www.iom.int/sites/g/files/tmzbdl486/files/migrated_files/pbn/docs/Perfil_Migratorio_Peru_2012.pdf" TargetMode="External"/><Relationship Id="rId80" Type="http://schemas.openxmlformats.org/officeDocument/2006/relationships/hyperlink" Target="http://ibdigital.uib.es/greenstone/sites/localsite/collect/cd2/index/assoc/stc0113.dir/stc0113.pdf" TargetMode="External"/><Relationship Id="rId85" Type="http://schemas.openxmlformats.org/officeDocument/2006/relationships/hyperlink" Target="https://www.unicef.org/venezuela/informes/an%C3%A1lisis-de-la-legislaci%C3%B3n-nacional-sobre-justicia-juvenil-de-adolescentes-con-la-ley"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csantiago@cancilleria.gov.co" TargetMode="External"/><Relationship Id="rId25" Type="http://schemas.openxmlformats.org/officeDocument/2006/relationships/hyperlink" Target="mailto:conpervalparaiso@gmail.com" TargetMode="External"/><Relationship Id="rId33" Type="http://schemas.openxmlformats.org/officeDocument/2006/relationships/hyperlink" Target="mailto:consularchile@mirex.gob.do" TargetMode="External"/><Relationship Id="rId38" Type="http://schemas.openxmlformats.org/officeDocument/2006/relationships/hyperlink" Target="https://www.asfcanada.ca/uploads/publications/uploaded_guide-justice-mineurs-nov-2015-pdf-100.pdf" TargetMode="External"/><Relationship Id="rId46" Type="http://schemas.openxmlformats.org/officeDocument/2006/relationships/hyperlink" Target="https://datosmacro.expansion.com/demografia/migracion/emigracion/haiti" TargetMode="External"/><Relationship Id="rId59" Type="http://schemas.openxmlformats.org/officeDocument/2006/relationships/hyperlink" Target="http://ipol.org.br/lenguas-originarias-de-peru-todo-lo-que-debes-saber/" TargetMode="External"/><Relationship Id="rId67" Type="http://schemas.openxmlformats.org/officeDocument/2006/relationships/hyperlink" Target="https://oig.cepal.org/es/paises/23/system" TargetMode="External"/><Relationship Id="rId20" Type="http://schemas.openxmlformats.org/officeDocument/2006/relationships/hyperlink" Target="mailto:embajada@embajadadelperu.cl" TargetMode="External"/><Relationship Id="rId41" Type="http://schemas.openxmlformats.org/officeDocument/2006/relationships/hyperlink" Target="https://datos.bancomundial.org/indicador/SP.POP.TOTL" TargetMode="External"/><Relationship Id="rId54" Type="http://schemas.openxmlformats.org/officeDocument/2006/relationships/hyperlink" Target="https://www.colombia.co/pais-colombia/estructura-del-estado-colombiano/como-es-la-organizacion-politico-administrativa-de-colombia/" TargetMode="External"/><Relationship Id="rId62" Type="http://schemas.openxmlformats.org/officeDocument/2006/relationships/hyperlink" Target="http://www.observatoriorli.com/docs/VENEZUELA/FICHA_PAIS_Venezuela.pdf" TargetMode="External"/><Relationship Id="rId70" Type="http://schemas.openxmlformats.org/officeDocument/2006/relationships/hyperlink" Target="https://www.oecd-ilibrary.org/development/interacciones-entre-politicas-publicas-migracion-y-desarrollo-en-republica-dominicana/el-panorama-de-la-migracion-en-republica-dominicana_9789264276918-6-es" TargetMode="External"/><Relationship Id="rId75" Type="http://schemas.openxmlformats.org/officeDocument/2006/relationships/hyperlink" Target="https://www.iom.int/es/news/el-perfil-de-los-refugiados-y-migrantes-de-venezuela-en-america-latina-y-el-caribe-revela-variaciones-de-pais-pais-en-sus-caracteristicas-y-experiencias" TargetMode="External"/><Relationship Id="rId83" Type="http://schemas.openxmlformats.org/officeDocument/2006/relationships/hyperlink" Target="https://www.unicef.org/lac/media/2666/file/PDF%20Edad%20m%C3%ADnima%20para%20la%20responsabilidad%20penal.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santiago@cancilleria.gov.co" TargetMode="External"/><Relationship Id="rId23" Type="http://schemas.openxmlformats.org/officeDocument/2006/relationships/hyperlink" Target="mailto:info@conperiqq.com" TargetMode="External"/><Relationship Id="rId28" Type="http://schemas.openxmlformats.org/officeDocument/2006/relationships/image" Target="media/image8.png"/><Relationship Id="rId36" Type="http://schemas.openxmlformats.org/officeDocument/2006/relationships/hyperlink" Target="mailto:pembajada@embajadahaiti.cl" TargetMode="External"/><Relationship Id="rId49" Type="http://schemas.openxmlformats.org/officeDocument/2006/relationships/hyperlink" Target="https://embajadaboliviacolombia.org/organizacion-territorial/" TargetMode="External"/><Relationship Id="rId57" Type="http://schemas.openxmlformats.org/officeDocument/2006/relationships/hyperlink" Target="https://www.inei.gob.pe/media/MenuRecursivo/publicaciones_digitales/Est/Lib1715/cap02.pdf" TargetMode="External"/><Relationship Id="rId10" Type="http://schemas.openxmlformats.org/officeDocument/2006/relationships/image" Target="media/image2.jpeg"/><Relationship Id="rId31" Type="http://schemas.openxmlformats.org/officeDocument/2006/relationships/hyperlink" Target="https://datos.bancomundial.org/indicador/SP.DYN.LE00.IN?locations=DO" TargetMode="External"/><Relationship Id="rId44" Type="http://schemas.openxmlformats.org/officeDocument/2006/relationships/hyperlink" Target="https://www.dane.gov.co/files/investigaciones/poblacion/migraciones/Anuario_2019_movimientos-internacionales.pdf" TargetMode="External"/><Relationship Id="rId52" Type="http://schemas.openxmlformats.org/officeDocument/2006/relationships/hyperlink" Target="https://obtienearchivo.bcn.cl/obtienearchivo?id=repositorio/10221/24448/2/Edad_imputabilidad_juvenil_y_adulta_editado_edfinMP.pdf" TargetMode="External"/><Relationship Id="rId60" Type="http://schemas.openxmlformats.org/officeDocument/2006/relationships/hyperlink" Target="https://img.lpderecho.pe/wp-content/uploads/2020/03/C%C3%B3digo-de-los-Ni%C3%B1os-y-Adolescentes-LP.pdf" TargetMode="External"/><Relationship Id="rId65" Type="http://schemas.openxmlformats.org/officeDocument/2006/relationships/hyperlink" Target="http://catolicasbolivia.org/wp-content/uploads/2015/09/Ley-548-C%C3%B3digo-Ni%C3%B1o-Ni%C3%B1a-y-Adolescente.pdf" TargetMode="External"/><Relationship Id="rId73" Type="http://schemas.openxmlformats.org/officeDocument/2006/relationships/hyperlink" Target="http://ipe.org.pe/wp-content/uploads/2009/06/migracion-en-el-peru-ipe-0510109.pdf" TargetMode="External"/><Relationship Id="rId78" Type="http://schemas.openxmlformats.org/officeDocument/2006/relationships/hyperlink" Target="https://repository.iom.int/handle/20.500.11788/1801" TargetMode="External"/><Relationship Id="rId81" Type="http://schemas.openxmlformats.org/officeDocument/2006/relationships/hyperlink" Target="https://siteal.iiep.unesco.org/sites/default/files/sit_informe_pdfs/siteal_pi_republica_dominicana_20190523.pdf"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cantofagasta@cancilleria.gov.co" TargetMode="External"/><Relationship Id="rId39" Type="http://schemas.openxmlformats.org/officeDocument/2006/relationships/hyperlink" Target="http://ipe.org.pe/wp-content/uploads/2009/06/migracion-en-el-peru-ipe-0510109.pdf" TargetMode="External"/><Relationship Id="rId34" Type="http://schemas.openxmlformats.org/officeDocument/2006/relationships/image" Target="media/image10.png"/><Relationship Id="rId50" Type="http://schemas.openxmlformats.org/officeDocument/2006/relationships/hyperlink" Target="https://www.gob.pe/institucion/minjus/noticias/491091-aprueban-politica-nacional-del-adolescente-en-riesgo-y-conflicto-con-la-ley-penal" TargetMode="External"/><Relationship Id="rId55" Type="http://schemas.openxmlformats.org/officeDocument/2006/relationships/hyperlink" Target="http://censosbolivia.ine.gob.bo/webine/sites/default/files/archivos_adjuntos/NOTA%20DE%20PRENSA%20D%C3%8DA%20DEL%20NI%C3%91O.pdf" TargetMode="External"/><Relationship Id="rId76" Type="http://schemas.openxmlformats.org/officeDocument/2006/relationships/hyperlink" Target="https://www.one.gob.do/media/s5gdl00n/divisi%C3%B3n-territorial-2020-t.pdf" TargetMode="External"/><Relationship Id="rId7" Type="http://schemas.openxmlformats.org/officeDocument/2006/relationships/footnotes" Target="footnotes.xml"/><Relationship Id="rId71" Type="http://schemas.openxmlformats.org/officeDocument/2006/relationships/hyperlink" Target="https://www.cancilleria.gov.co/sites/default/files/planeacion_estrategica/Transparencia/estudio_oim_con_el_apoyo_de_colombia_nos_une_y_otras_entidades.pdf" TargetMode="External"/><Relationship Id="rId2" Type="http://schemas.openxmlformats.org/officeDocument/2006/relationships/customXml" Target="../customXml/item2.xml"/><Relationship Id="rId29" Type="http://schemas.openxmlformats.org/officeDocument/2006/relationships/hyperlink" Target="mailto:consulares.chile@mppre.gob.ve" TargetMode="External"/><Relationship Id="rId24" Type="http://schemas.openxmlformats.org/officeDocument/2006/relationships/hyperlink" Target="mailto:consuladodelperu@conperiqq.com" TargetMode="External"/><Relationship Id="rId40" Type="http://schemas.openxmlformats.org/officeDocument/2006/relationships/hyperlink" Target="https://datos.bancomundial.org/indicador/NY.GDP.MKTP.KD.ZG" TargetMode="External"/><Relationship Id="rId45" Type="http://schemas.openxmlformats.org/officeDocument/2006/relationships/hyperlink" Target="https://datosmacro.expansion.com/demografia/migracion/emigracion/bolivia" TargetMode="External"/><Relationship Id="rId66" Type="http://schemas.openxmlformats.org/officeDocument/2006/relationships/hyperlink" Target="https://repositorio.unphu.edu.do/bitstream/handle/123456789/991/El%20estudio%20de%20la%20criminologi%CC%81a%20juvenil%20en%20la%20Repu%CC%81blica%20Dominicana.pdf?sequence=1&amp;isAllowed=y" TargetMode="External"/><Relationship Id="rId87" Type="http://schemas.openxmlformats.org/officeDocument/2006/relationships/theme" Target="theme/theme1.xml"/><Relationship Id="rId61" Type="http://schemas.openxmlformats.org/officeDocument/2006/relationships/hyperlink" Target="https://repositorio.cepal.org/bitstream/handle/11362/35288/S1100998_es.pdf" TargetMode="External"/><Relationship Id="rId82" Type="http://schemas.openxmlformats.org/officeDocument/2006/relationships/hyperlink" Target="https://www.r4v.info/es/refugiadosymigran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iCojGekiwLuP80wasPSF8IYe8Q==">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</go:docsCustomData>
</go:gDocsCustomXmlDataStorage>
</file>

<file path=customXml/itemProps1.xml><?xml version="1.0" encoding="utf-8"?>
<ds:datastoreItem xmlns:ds="http://schemas.openxmlformats.org/officeDocument/2006/customXml" ds:itemID="{3CAFE925-A6D1-4E99-842A-05DDE52E8E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10214</Words>
  <Characters>56181</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Javiera Constanza Romero Monsalve</dc:creator>
  <cp:lastModifiedBy>María Sofía Dupré Álamos</cp:lastModifiedBy>
  <cp:revision>2</cp:revision>
  <dcterms:created xsi:type="dcterms:W3CDTF">2023-01-16T18:56:00Z</dcterms:created>
  <dcterms:modified xsi:type="dcterms:W3CDTF">2023-01-16T18:56:00Z</dcterms:modified>
</cp:coreProperties>
</file>