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9" w:rsidRDefault="00C14C05" w:rsidP="00914E29">
      <w:pPr>
        <w:jc w:val="center"/>
        <w:rPr>
          <w:noProof/>
          <w:sz w:val="36"/>
          <w:szCs w:val="36"/>
          <w:lang w:val="es-CL" w:eastAsia="es-CL"/>
        </w:rPr>
      </w:pPr>
      <w:r w:rsidRPr="00C14C05">
        <w:rPr>
          <w:noProof/>
          <w:sz w:val="36"/>
          <w:szCs w:val="36"/>
          <w:lang w:val="es-CL" w:eastAsia="es-CL"/>
        </w:rPr>
        <w:drawing>
          <wp:inline distT="0" distB="0" distL="0" distR="0">
            <wp:extent cx="1783367" cy="1614790"/>
            <wp:effectExtent l="19050" t="0" r="7333" b="0"/>
            <wp:docPr id="1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367" cy="16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s-CL" w:eastAsia="es-CL"/>
        </w:rPr>
        <w:t xml:space="preserve"> </w:t>
      </w:r>
    </w:p>
    <w:p w:rsidR="00914E29" w:rsidRDefault="00914E29" w:rsidP="00914E29">
      <w:pPr>
        <w:jc w:val="center"/>
        <w:rPr>
          <w:noProof/>
          <w:sz w:val="36"/>
          <w:szCs w:val="36"/>
          <w:lang w:val="es-CL" w:eastAsia="es-CL"/>
        </w:rPr>
      </w:pPr>
    </w:p>
    <w:p w:rsidR="00914E29" w:rsidRPr="0033781D" w:rsidRDefault="00914E29" w:rsidP="00914E29">
      <w:pPr>
        <w:jc w:val="center"/>
        <w:rPr>
          <w:noProof/>
          <w:sz w:val="36"/>
          <w:szCs w:val="36"/>
          <w:lang w:val="es-CL" w:eastAsia="es-CL"/>
        </w:rPr>
      </w:pPr>
    </w:p>
    <w:p w:rsidR="00914E29" w:rsidRPr="00B6721B" w:rsidRDefault="00914E29" w:rsidP="00914E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</w:t>
      </w:r>
      <w:r w:rsidRPr="00B6721B">
        <w:rPr>
          <w:rFonts w:ascii="Arial" w:hAnsi="Arial" w:cs="Arial"/>
          <w:b/>
          <w:sz w:val="24"/>
          <w:szCs w:val="24"/>
        </w:rPr>
        <w:t xml:space="preserve">N DEL CONSEJO DE LA SOCIEDAD CIVIL (COSOC) SENAME </w:t>
      </w:r>
    </w:p>
    <w:p w:rsidR="00914E29" w:rsidRPr="00B6721B" w:rsidRDefault="00914E29" w:rsidP="00914E29">
      <w:pPr>
        <w:jc w:val="both"/>
        <w:rPr>
          <w:rFonts w:ascii="Arial" w:hAnsi="Arial" w:cs="Arial"/>
          <w:b/>
          <w:sz w:val="24"/>
          <w:szCs w:val="24"/>
        </w:rPr>
      </w:pPr>
      <w:r w:rsidRPr="00B6721B">
        <w:rPr>
          <w:rFonts w:ascii="Arial" w:hAnsi="Arial" w:cs="Arial"/>
          <w:b/>
          <w:sz w:val="24"/>
          <w:szCs w:val="24"/>
        </w:rPr>
        <w:t>UNIDAD</w:t>
      </w:r>
      <w:r>
        <w:rPr>
          <w:rFonts w:ascii="Arial" w:hAnsi="Arial" w:cs="Arial"/>
          <w:b/>
          <w:sz w:val="24"/>
          <w:szCs w:val="24"/>
        </w:rPr>
        <w:t xml:space="preserve"> DE COMUNICACIONES, </w:t>
      </w:r>
      <w:r w:rsidR="00444A6C">
        <w:rPr>
          <w:rFonts w:ascii="Arial" w:hAnsi="Arial" w:cs="Arial"/>
          <w:b/>
          <w:sz w:val="24"/>
          <w:szCs w:val="24"/>
        </w:rPr>
        <w:t>Á</w:t>
      </w:r>
      <w:r w:rsidR="00641A7F">
        <w:rPr>
          <w:rFonts w:ascii="Arial" w:hAnsi="Arial" w:cs="Arial"/>
          <w:b/>
          <w:sz w:val="24"/>
          <w:szCs w:val="24"/>
        </w:rPr>
        <w:t>REA DE PARTICIPACIÓN</w:t>
      </w:r>
      <w:r w:rsidRPr="00B6721B">
        <w:rPr>
          <w:rFonts w:ascii="Arial" w:hAnsi="Arial" w:cs="Arial"/>
          <w:b/>
          <w:sz w:val="24"/>
          <w:szCs w:val="24"/>
        </w:rPr>
        <w:t xml:space="preserve"> CIUDADANA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 de acta N°6 período 2019-2021</w:t>
      </w:r>
      <w:r w:rsidR="00697B2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14E29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 xml:space="preserve">16 </w:t>
      </w:r>
      <w:r w:rsidRPr="00B6721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junio de 2020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Hora: </w:t>
      </w:r>
      <w:r>
        <w:rPr>
          <w:rFonts w:ascii="Arial" w:hAnsi="Arial" w:cs="Arial"/>
          <w:sz w:val="24"/>
          <w:szCs w:val="24"/>
        </w:rPr>
        <w:t>10</w:t>
      </w:r>
      <w:r w:rsidR="00444A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 w:rsidRPr="00B6721B">
        <w:rPr>
          <w:rFonts w:ascii="Arial" w:hAnsi="Arial" w:cs="Arial"/>
          <w:sz w:val="24"/>
          <w:szCs w:val="24"/>
        </w:rPr>
        <w:t xml:space="preserve"> a 1</w:t>
      </w:r>
      <w:r>
        <w:rPr>
          <w:rFonts w:ascii="Arial" w:hAnsi="Arial" w:cs="Arial"/>
          <w:sz w:val="24"/>
          <w:szCs w:val="24"/>
        </w:rPr>
        <w:t>2</w:t>
      </w:r>
      <w:r w:rsidR="00444A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Pr="00B6721B">
        <w:rPr>
          <w:rFonts w:ascii="Arial" w:hAnsi="Arial" w:cs="Arial"/>
          <w:sz w:val="24"/>
          <w:szCs w:val="24"/>
        </w:rPr>
        <w:t xml:space="preserve"> horas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Lugar: </w:t>
      </w:r>
      <w:r>
        <w:rPr>
          <w:rFonts w:ascii="Arial" w:hAnsi="Arial" w:cs="Arial"/>
          <w:sz w:val="24"/>
          <w:szCs w:val="24"/>
        </w:rPr>
        <w:t xml:space="preserve">sesión virtual por plataforma Zoom. </w:t>
      </w: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t>ASISTENTES</w:t>
      </w:r>
      <w:r>
        <w:rPr>
          <w:rFonts w:ascii="Arial" w:hAnsi="Arial" w:cs="Arial"/>
          <w:b/>
          <w:sz w:val="24"/>
          <w:szCs w:val="24"/>
          <w:u w:val="single"/>
        </w:rPr>
        <w:t xml:space="preserve"> POR PLATAFORMA ZOOM</w:t>
      </w:r>
      <w:r w:rsidRPr="00B6721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914E29" w:rsidRPr="00B6721B" w:rsidTr="00735245"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Claudette  Medina Venegas    </w:t>
            </w:r>
          </w:p>
        </w:tc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 </w:t>
            </w:r>
            <w:r w:rsidR="00444A6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jecutiva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Marivil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Marivil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7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 </w:t>
            </w:r>
            <w:r w:rsidR="00444A6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ctas </w:t>
            </w:r>
            <w:r w:rsidRPr="00B67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Paula </w:t>
            </w:r>
            <w:r w:rsidRPr="00D1498A">
              <w:rPr>
                <w:rFonts w:ascii="Arial" w:hAnsi="Arial" w:cs="Arial"/>
                <w:sz w:val="24"/>
                <w:szCs w:val="24"/>
              </w:rPr>
              <w:t>Urzúa</w:t>
            </w:r>
            <w:r>
              <w:rPr>
                <w:rFonts w:ascii="Arial" w:hAnsi="Arial" w:cs="Arial"/>
                <w:sz w:val="24"/>
                <w:szCs w:val="24"/>
              </w:rPr>
              <w:t xml:space="preserve"> Frei</w:t>
            </w:r>
          </w:p>
        </w:tc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Área  </w:t>
            </w:r>
            <w:r w:rsidR="00444A6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 Participación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Mat</w:t>
            </w:r>
            <w:r w:rsidR="00444A6C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 xml:space="preserve">as Orellana  </w:t>
            </w:r>
          </w:p>
        </w:tc>
        <w:tc>
          <w:tcPr>
            <w:tcW w:w="4489" w:type="dxa"/>
          </w:tcPr>
          <w:p w:rsidR="00914E29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Presidente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Catalina Berr</w:t>
            </w:r>
            <w:r w:rsidR="00444A6C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 xml:space="preserve">os  </w:t>
            </w:r>
          </w:p>
        </w:tc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Fundación Pléyades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B6721B" w:rsidRDefault="00641A7F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</w:t>
            </w:r>
            <w:r w:rsidR="00914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14E29">
              <w:rPr>
                <w:rFonts w:ascii="Arial" w:hAnsi="Arial" w:cs="Arial"/>
                <w:sz w:val="24"/>
                <w:szCs w:val="24"/>
              </w:rPr>
              <w:t>Hueichaqueo</w:t>
            </w:r>
            <w:proofErr w:type="spellEnd"/>
            <w:r w:rsidR="00914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14E29">
              <w:rPr>
                <w:rFonts w:ascii="Arial" w:hAnsi="Arial" w:cs="Arial"/>
                <w:sz w:val="24"/>
                <w:szCs w:val="24"/>
              </w:rPr>
              <w:t>Epulef</w:t>
            </w:r>
            <w:proofErr w:type="spellEnd"/>
          </w:p>
        </w:tc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Academia de la lengua Mapuche en contexto urbano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D03DDD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Carlos Alvear Pareja </w:t>
            </w:r>
          </w:p>
          <w:p w:rsidR="00914E29" w:rsidRPr="00D03DDD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03DD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489" w:type="dxa"/>
          </w:tcPr>
          <w:p w:rsidR="00914E29" w:rsidRPr="00B6721B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DD">
              <w:rPr>
                <w:rFonts w:ascii="Arial" w:hAnsi="Arial" w:cs="Arial"/>
                <w:sz w:val="24"/>
                <w:szCs w:val="24"/>
              </w:rPr>
              <w:t>Fundación Acción Para</w:t>
            </w:r>
            <w:r w:rsidR="00444A6C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Pr="00D03DDD">
              <w:rPr>
                <w:rFonts w:ascii="Arial" w:hAnsi="Arial" w:cs="Arial"/>
                <w:sz w:val="24"/>
                <w:szCs w:val="24"/>
              </w:rPr>
              <w:t>a Infancia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14E29" w:rsidRPr="00B6721B" w:rsidTr="00735245">
        <w:trPr>
          <w:trHeight w:val="365"/>
        </w:trPr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Parra   </w:t>
            </w:r>
          </w:p>
        </w:tc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Fundación Hogar de Cristo </w:t>
            </w:r>
          </w:p>
        </w:tc>
      </w:tr>
      <w:tr w:rsidR="00914E29" w:rsidRPr="00B6721B" w:rsidTr="00735245">
        <w:trPr>
          <w:trHeight w:val="365"/>
        </w:trPr>
        <w:tc>
          <w:tcPr>
            <w:tcW w:w="4489" w:type="dxa"/>
          </w:tcPr>
          <w:p w:rsidR="00914E29" w:rsidRDefault="00914E29" w:rsidP="00444A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Belén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Storace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Abella</w:t>
            </w:r>
          </w:p>
        </w:tc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Corporación de Desarrollo para Niños en riesgo social 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Marjorie Castillo Rivas </w:t>
            </w:r>
          </w:p>
        </w:tc>
        <w:tc>
          <w:tcPr>
            <w:tcW w:w="4489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Uniref.D</w:t>
            </w:r>
            <w:proofErr w:type="spellEnd"/>
          </w:p>
        </w:tc>
      </w:tr>
      <w:tr w:rsidR="00914E29" w:rsidRPr="00B6721B" w:rsidTr="00735245"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Alejandra Retamal </w:t>
            </w:r>
          </w:p>
        </w:tc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UC de la Familia  </w:t>
            </w:r>
          </w:p>
        </w:tc>
      </w:tr>
      <w:tr w:rsidR="00914E29" w:rsidRPr="00B6721B" w:rsidTr="00735245"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lastRenderedPageBreak/>
        <w:t>TABLA: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Elección de </w:t>
      </w:r>
      <w:r w:rsidR="00444A6C">
        <w:rPr>
          <w:rFonts w:ascii="Arial" w:hAnsi="Arial" w:cs="Arial"/>
          <w:sz w:val="24"/>
          <w:szCs w:val="24"/>
        </w:rPr>
        <w:t>n</w:t>
      </w:r>
      <w:r w:rsidRPr="0025353C">
        <w:rPr>
          <w:rFonts w:ascii="Arial" w:hAnsi="Arial" w:cs="Arial"/>
          <w:sz w:val="24"/>
          <w:szCs w:val="24"/>
        </w:rPr>
        <w:t xml:space="preserve">ueva </w:t>
      </w:r>
      <w:r w:rsidR="00444A6C">
        <w:rPr>
          <w:rFonts w:ascii="Arial" w:hAnsi="Arial" w:cs="Arial"/>
          <w:sz w:val="24"/>
          <w:szCs w:val="24"/>
        </w:rPr>
        <w:t>d</w:t>
      </w:r>
      <w:r w:rsidRPr="0025353C">
        <w:rPr>
          <w:rFonts w:ascii="Arial" w:hAnsi="Arial" w:cs="Arial"/>
          <w:sz w:val="24"/>
          <w:szCs w:val="24"/>
        </w:rPr>
        <w:t>irectiva</w:t>
      </w:r>
      <w:r w:rsidR="00433C1C">
        <w:rPr>
          <w:rFonts w:ascii="Arial" w:hAnsi="Arial" w:cs="Arial"/>
          <w:sz w:val="24"/>
          <w:szCs w:val="24"/>
        </w:rPr>
        <w:t>.</w:t>
      </w:r>
    </w:p>
    <w:p w:rsidR="00914E29" w:rsidRPr="0025353C" w:rsidRDefault="00914E29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>Temas de preocupación en contexto C</w:t>
      </w:r>
      <w:r w:rsidR="00444A6C">
        <w:rPr>
          <w:rFonts w:ascii="Arial" w:hAnsi="Arial" w:cs="Arial"/>
          <w:sz w:val="24"/>
          <w:szCs w:val="24"/>
        </w:rPr>
        <w:t>ovid-</w:t>
      </w:r>
      <w:r w:rsidRPr="0025353C">
        <w:rPr>
          <w:rFonts w:ascii="Arial" w:hAnsi="Arial" w:cs="Arial"/>
          <w:sz w:val="24"/>
          <w:szCs w:val="24"/>
        </w:rPr>
        <w:t>19 levantados por los</w:t>
      </w:r>
      <w:r w:rsidR="00433C1C">
        <w:rPr>
          <w:rFonts w:ascii="Arial" w:hAnsi="Arial" w:cs="Arial"/>
          <w:sz w:val="24"/>
          <w:szCs w:val="24"/>
        </w:rPr>
        <w:t xml:space="preserve"> consejeros.</w:t>
      </w:r>
    </w:p>
    <w:p w:rsidR="00444A6C" w:rsidRDefault="00444A6C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INICIO DE SESIÓN N°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25353C">
        <w:rPr>
          <w:rFonts w:ascii="Arial" w:hAnsi="Arial" w:cs="Arial"/>
          <w:b/>
          <w:sz w:val="24"/>
          <w:szCs w:val="24"/>
          <w:u w:val="single"/>
        </w:rPr>
        <w:t xml:space="preserve"> DEL AÑO 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2535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pStyle w:val="Prrafodelista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Siendo las </w:t>
      </w:r>
      <w:r>
        <w:rPr>
          <w:rFonts w:ascii="Arial" w:hAnsi="Arial" w:cs="Arial"/>
          <w:sz w:val="24"/>
          <w:szCs w:val="24"/>
        </w:rPr>
        <w:t>10</w:t>
      </w:r>
      <w:r w:rsidR="00444A6C">
        <w:rPr>
          <w:rFonts w:ascii="Arial" w:hAnsi="Arial" w:cs="Arial"/>
          <w:sz w:val="24"/>
          <w:szCs w:val="24"/>
        </w:rPr>
        <w:t>.</w:t>
      </w:r>
      <w:r w:rsidRPr="0025353C">
        <w:rPr>
          <w:rFonts w:ascii="Arial" w:hAnsi="Arial" w:cs="Arial"/>
          <w:sz w:val="24"/>
          <w:szCs w:val="24"/>
        </w:rPr>
        <w:t xml:space="preserve">30 horas del día </w:t>
      </w:r>
      <w:r>
        <w:rPr>
          <w:rFonts w:ascii="Arial" w:hAnsi="Arial" w:cs="Arial"/>
          <w:sz w:val="24"/>
          <w:szCs w:val="24"/>
        </w:rPr>
        <w:t>martes 16</w:t>
      </w:r>
      <w:r w:rsidRPr="0025353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junio </w:t>
      </w:r>
      <w:r w:rsidRPr="0025353C">
        <w:rPr>
          <w:rFonts w:ascii="Arial" w:hAnsi="Arial" w:cs="Arial"/>
          <w:sz w:val="24"/>
          <w:szCs w:val="24"/>
        </w:rPr>
        <w:t xml:space="preserve">de 2020, se da inicio a la </w:t>
      </w:r>
      <w:r>
        <w:rPr>
          <w:rFonts w:ascii="Arial" w:hAnsi="Arial" w:cs="Arial"/>
          <w:sz w:val="24"/>
          <w:szCs w:val="24"/>
        </w:rPr>
        <w:t xml:space="preserve">séptima </w:t>
      </w:r>
      <w:r w:rsidRPr="0025353C">
        <w:rPr>
          <w:rFonts w:ascii="Arial" w:hAnsi="Arial" w:cs="Arial"/>
          <w:sz w:val="24"/>
          <w:szCs w:val="24"/>
        </w:rPr>
        <w:t>reunión del periodo de</w:t>
      </w:r>
      <w:r w:rsidR="00444A6C">
        <w:rPr>
          <w:rFonts w:ascii="Arial" w:hAnsi="Arial" w:cs="Arial"/>
          <w:sz w:val="24"/>
          <w:szCs w:val="24"/>
        </w:rPr>
        <w:t>l</w:t>
      </w:r>
      <w:r w:rsidRPr="0025353C">
        <w:rPr>
          <w:rFonts w:ascii="Arial" w:hAnsi="Arial" w:cs="Arial"/>
          <w:sz w:val="24"/>
          <w:szCs w:val="24"/>
        </w:rPr>
        <w:t xml:space="preserve"> Consejo de la Sociedad Civil (</w:t>
      </w:r>
      <w:proofErr w:type="spellStart"/>
      <w:r w:rsidRPr="0025353C">
        <w:rPr>
          <w:rFonts w:ascii="Arial" w:hAnsi="Arial" w:cs="Arial"/>
          <w:sz w:val="24"/>
          <w:szCs w:val="24"/>
        </w:rPr>
        <w:t>Cosoc</w:t>
      </w:r>
      <w:proofErr w:type="spellEnd"/>
      <w:r w:rsidRPr="0025353C">
        <w:rPr>
          <w:rFonts w:ascii="Arial" w:hAnsi="Arial" w:cs="Arial"/>
          <w:sz w:val="24"/>
          <w:szCs w:val="24"/>
        </w:rPr>
        <w:t xml:space="preserve">) del </w:t>
      </w:r>
      <w:proofErr w:type="spellStart"/>
      <w:r w:rsidRPr="0025353C">
        <w:rPr>
          <w:rFonts w:ascii="Arial" w:hAnsi="Arial" w:cs="Arial"/>
          <w:sz w:val="24"/>
          <w:szCs w:val="24"/>
        </w:rPr>
        <w:t>Sename</w:t>
      </w:r>
      <w:proofErr w:type="spellEnd"/>
      <w:r w:rsidRPr="0025353C">
        <w:rPr>
          <w:rFonts w:ascii="Arial" w:hAnsi="Arial" w:cs="Arial"/>
          <w:sz w:val="24"/>
          <w:szCs w:val="24"/>
        </w:rPr>
        <w:t>.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DESARROLLO 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041677" w:rsidRDefault="00433C1C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914E29" w:rsidRPr="00041677">
        <w:rPr>
          <w:rFonts w:ascii="Arial" w:hAnsi="Arial" w:cs="Arial"/>
          <w:sz w:val="24"/>
          <w:szCs w:val="24"/>
        </w:rPr>
        <w:t xml:space="preserve">Secretaria Ejecutiva </w:t>
      </w:r>
      <w:r>
        <w:rPr>
          <w:rFonts w:ascii="Arial" w:hAnsi="Arial" w:cs="Arial"/>
          <w:sz w:val="24"/>
          <w:szCs w:val="24"/>
        </w:rPr>
        <w:t>e</w:t>
      </w:r>
      <w:r w:rsidR="00914E29" w:rsidRPr="00041677">
        <w:rPr>
          <w:rFonts w:ascii="Arial" w:hAnsi="Arial" w:cs="Arial"/>
          <w:sz w:val="24"/>
          <w:szCs w:val="24"/>
        </w:rPr>
        <w:t xml:space="preserve">ntrega </w:t>
      </w:r>
      <w:r>
        <w:rPr>
          <w:rFonts w:ascii="Arial" w:hAnsi="Arial" w:cs="Arial"/>
          <w:sz w:val="24"/>
          <w:szCs w:val="24"/>
        </w:rPr>
        <w:t xml:space="preserve">un </w:t>
      </w:r>
      <w:r w:rsidR="00914E29" w:rsidRPr="00041677">
        <w:rPr>
          <w:rFonts w:ascii="Arial" w:hAnsi="Arial" w:cs="Arial"/>
          <w:sz w:val="24"/>
          <w:szCs w:val="24"/>
        </w:rPr>
        <w:t xml:space="preserve">saludo a </w:t>
      </w:r>
      <w:r>
        <w:rPr>
          <w:rFonts w:ascii="Arial" w:hAnsi="Arial" w:cs="Arial"/>
          <w:sz w:val="24"/>
          <w:szCs w:val="24"/>
        </w:rPr>
        <w:t xml:space="preserve">los </w:t>
      </w:r>
      <w:r w:rsidR="00914E29" w:rsidRPr="00041677">
        <w:rPr>
          <w:rFonts w:ascii="Arial" w:hAnsi="Arial" w:cs="Arial"/>
          <w:sz w:val="24"/>
          <w:szCs w:val="24"/>
        </w:rPr>
        <w:t>consejero/as presentes por plataforma Zoom</w:t>
      </w:r>
      <w:r>
        <w:rPr>
          <w:rFonts w:ascii="Arial" w:hAnsi="Arial" w:cs="Arial"/>
          <w:sz w:val="24"/>
          <w:szCs w:val="24"/>
        </w:rPr>
        <w:t>,</w:t>
      </w:r>
      <w:r w:rsidR="00914E29" w:rsidRPr="00041677">
        <w:rPr>
          <w:rFonts w:ascii="Arial" w:hAnsi="Arial" w:cs="Arial"/>
          <w:sz w:val="24"/>
          <w:szCs w:val="24"/>
        </w:rPr>
        <w:t xml:space="preserve"> explica </w:t>
      </w:r>
      <w:r w:rsidR="00444A6C">
        <w:rPr>
          <w:rFonts w:ascii="Arial" w:hAnsi="Arial" w:cs="Arial"/>
          <w:sz w:val="24"/>
          <w:szCs w:val="24"/>
        </w:rPr>
        <w:t xml:space="preserve">la </w:t>
      </w:r>
      <w:r w:rsidR="00914E29" w:rsidRPr="00041677">
        <w:rPr>
          <w:rFonts w:ascii="Arial" w:hAnsi="Arial" w:cs="Arial"/>
          <w:sz w:val="24"/>
          <w:szCs w:val="24"/>
        </w:rPr>
        <w:t xml:space="preserve">modalidad de </w:t>
      </w:r>
      <w:r w:rsidR="00444A6C">
        <w:rPr>
          <w:rFonts w:ascii="Arial" w:hAnsi="Arial" w:cs="Arial"/>
          <w:sz w:val="24"/>
          <w:szCs w:val="24"/>
        </w:rPr>
        <w:t xml:space="preserve">la </w:t>
      </w:r>
      <w:r w:rsidR="00914E29" w:rsidRPr="00041677">
        <w:rPr>
          <w:rFonts w:ascii="Arial" w:hAnsi="Arial" w:cs="Arial"/>
          <w:sz w:val="24"/>
          <w:szCs w:val="24"/>
        </w:rPr>
        <w:t>reunión</w:t>
      </w:r>
      <w:r w:rsidR="00914E29">
        <w:rPr>
          <w:rFonts w:ascii="Arial" w:hAnsi="Arial" w:cs="Arial"/>
          <w:sz w:val="24"/>
          <w:szCs w:val="24"/>
        </w:rPr>
        <w:t xml:space="preserve"> </w:t>
      </w:r>
      <w:r w:rsidR="00444A6C">
        <w:rPr>
          <w:rFonts w:ascii="Arial" w:hAnsi="Arial" w:cs="Arial"/>
          <w:sz w:val="24"/>
          <w:szCs w:val="24"/>
        </w:rPr>
        <w:t xml:space="preserve">e </w:t>
      </w:r>
      <w:r w:rsidR="00914E29">
        <w:rPr>
          <w:rFonts w:ascii="Arial" w:hAnsi="Arial" w:cs="Arial"/>
          <w:sz w:val="24"/>
          <w:szCs w:val="24"/>
        </w:rPr>
        <w:t xml:space="preserve">informa sobre </w:t>
      </w:r>
      <w:r w:rsidR="00444A6C">
        <w:rPr>
          <w:rFonts w:ascii="Arial" w:hAnsi="Arial" w:cs="Arial"/>
          <w:sz w:val="24"/>
          <w:szCs w:val="24"/>
        </w:rPr>
        <w:t xml:space="preserve">la </w:t>
      </w:r>
      <w:r w:rsidR="00914E29">
        <w:rPr>
          <w:rFonts w:ascii="Arial" w:hAnsi="Arial" w:cs="Arial"/>
          <w:sz w:val="24"/>
          <w:szCs w:val="24"/>
        </w:rPr>
        <w:t xml:space="preserve">renuncia de </w:t>
      </w:r>
      <w:r w:rsidR="00444A6C">
        <w:rPr>
          <w:rFonts w:ascii="Arial" w:hAnsi="Arial" w:cs="Arial"/>
          <w:sz w:val="24"/>
          <w:szCs w:val="24"/>
        </w:rPr>
        <w:t xml:space="preserve">la </w:t>
      </w:r>
      <w:r w:rsidR="00334F51">
        <w:rPr>
          <w:rFonts w:ascii="Arial" w:hAnsi="Arial" w:cs="Arial"/>
          <w:sz w:val="24"/>
          <w:szCs w:val="24"/>
        </w:rPr>
        <w:t>p</w:t>
      </w:r>
      <w:r w:rsidR="00914E29">
        <w:rPr>
          <w:rFonts w:ascii="Arial" w:hAnsi="Arial" w:cs="Arial"/>
          <w:sz w:val="24"/>
          <w:szCs w:val="24"/>
        </w:rPr>
        <w:t>residenta Ani</w:t>
      </w:r>
      <w:r w:rsidR="00641A7F">
        <w:rPr>
          <w:rFonts w:ascii="Arial" w:hAnsi="Arial" w:cs="Arial"/>
          <w:sz w:val="24"/>
          <w:szCs w:val="24"/>
        </w:rPr>
        <w:t>ta Leal a la Fundación Pléyades y</w:t>
      </w:r>
      <w:r w:rsidR="00444A6C">
        <w:rPr>
          <w:rFonts w:ascii="Arial" w:hAnsi="Arial" w:cs="Arial"/>
          <w:sz w:val="24"/>
          <w:szCs w:val="24"/>
        </w:rPr>
        <w:t>,</w:t>
      </w:r>
      <w:r w:rsidR="00641A7F">
        <w:rPr>
          <w:rFonts w:ascii="Arial" w:hAnsi="Arial" w:cs="Arial"/>
          <w:sz w:val="24"/>
          <w:szCs w:val="24"/>
        </w:rPr>
        <w:t xml:space="preserve"> por </w:t>
      </w:r>
      <w:r w:rsidR="00444A6C">
        <w:rPr>
          <w:rFonts w:ascii="Arial" w:hAnsi="Arial" w:cs="Arial"/>
          <w:sz w:val="24"/>
          <w:szCs w:val="24"/>
        </w:rPr>
        <w:t xml:space="preserve">lo </w:t>
      </w:r>
      <w:r w:rsidR="00641A7F">
        <w:rPr>
          <w:rFonts w:ascii="Arial" w:hAnsi="Arial" w:cs="Arial"/>
          <w:sz w:val="24"/>
          <w:szCs w:val="24"/>
        </w:rPr>
        <w:t>tanto</w:t>
      </w:r>
      <w:r w:rsidR="00444A6C">
        <w:rPr>
          <w:rFonts w:ascii="Arial" w:hAnsi="Arial" w:cs="Arial"/>
          <w:sz w:val="24"/>
          <w:szCs w:val="24"/>
        </w:rPr>
        <w:t>,</w:t>
      </w:r>
      <w:r w:rsidR="00641A7F">
        <w:rPr>
          <w:rFonts w:ascii="Arial" w:hAnsi="Arial" w:cs="Arial"/>
          <w:sz w:val="24"/>
          <w:szCs w:val="24"/>
        </w:rPr>
        <w:t xml:space="preserve"> a</w:t>
      </w:r>
      <w:r w:rsidR="00444A6C">
        <w:rPr>
          <w:rFonts w:ascii="Arial" w:hAnsi="Arial" w:cs="Arial"/>
          <w:sz w:val="24"/>
          <w:szCs w:val="24"/>
        </w:rPr>
        <w:t>l</w:t>
      </w:r>
      <w:r w:rsidR="00641A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A7F">
        <w:rPr>
          <w:rFonts w:ascii="Arial" w:hAnsi="Arial" w:cs="Arial"/>
          <w:sz w:val="24"/>
          <w:szCs w:val="24"/>
        </w:rPr>
        <w:t>Cosoc-</w:t>
      </w:r>
      <w:r w:rsidR="00444A6C">
        <w:rPr>
          <w:rFonts w:ascii="Arial" w:hAnsi="Arial" w:cs="Arial"/>
          <w:sz w:val="24"/>
          <w:szCs w:val="24"/>
        </w:rPr>
        <w:t>S</w:t>
      </w:r>
      <w:r w:rsidR="00641A7F">
        <w:rPr>
          <w:rFonts w:ascii="Arial" w:hAnsi="Arial" w:cs="Arial"/>
          <w:sz w:val="24"/>
          <w:szCs w:val="24"/>
        </w:rPr>
        <w:t>ename</w:t>
      </w:r>
      <w:proofErr w:type="spellEnd"/>
      <w:r w:rsidR="00641A7F">
        <w:rPr>
          <w:rFonts w:ascii="Arial" w:hAnsi="Arial" w:cs="Arial"/>
          <w:sz w:val="24"/>
          <w:szCs w:val="24"/>
        </w:rPr>
        <w:t>.</w:t>
      </w:r>
    </w:p>
    <w:p w:rsidR="00444A6C" w:rsidRDefault="00444A6C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Intervenciones de </w:t>
      </w:r>
      <w:r w:rsidR="00444A6C">
        <w:rPr>
          <w:rFonts w:ascii="Arial" w:hAnsi="Arial" w:cs="Arial"/>
          <w:b/>
          <w:sz w:val="24"/>
          <w:szCs w:val="24"/>
          <w:u w:val="single"/>
        </w:rPr>
        <w:t>c</w:t>
      </w:r>
      <w:r w:rsidRPr="0025353C">
        <w:rPr>
          <w:rFonts w:ascii="Arial" w:hAnsi="Arial" w:cs="Arial"/>
          <w:b/>
          <w:sz w:val="24"/>
          <w:szCs w:val="24"/>
          <w:u w:val="single"/>
        </w:rPr>
        <w:t>onsejero</w:t>
      </w:r>
      <w:r>
        <w:rPr>
          <w:rFonts w:ascii="Arial" w:hAnsi="Arial" w:cs="Arial"/>
          <w:b/>
          <w:sz w:val="24"/>
          <w:szCs w:val="24"/>
          <w:u w:val="single"/>
        </w:rPr>
        <w:t>/a</w:t>
      </w:r>
      <w:r w:rsidRPr="0025353C">
        <w:rPr>
          <w:rFonts w:ascii="Arial" w:hAnsi="Arial" w:cs="Arial"/>
          <w:b/>
          <w:sz w:val="24"/>
          <w:szCs w:val="24"/>
          <w:u w:val="single"/>
        </w:rPr>
        <w:t>s del COSOC</w:t>
      </w:r>
      <w:r w:rsidRPr="0025353C">
        <w:rPr>
          <w:rFonts w:ascii="Arial" w:hAnsi="Arial" w:cs="Arial"/>
          <w:b/>
          <w:sz w:val="24"/>
          <w:szCs w:val="24"/>
        </w:rPr>
        <w:t>: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  </w:t>
      </w:r>
    </w:p>
    <w:p w:rsidR="00914E29" w:rsidRDefault="00914E29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41677">
        <w:rPr>
          <w:rFonts w:ascii="Arial" w:hAnsi="Arial" w:cs="Arial"/>
          <w:sz w:val="24"/>
          <w:szCs w:val="24"/>
        </w:rPr>
        <w:t>Vicepresidente</w:t>
      </w:r>
      <w:r>
        <w:rPr>
          <w:rFonts w:ascii="Arial" w:hAnsi="Arial" w:cs="Arial"/>
          <w:sz w:val="24"/>
          <w:szCs w:val="24"/>
        </w:rPr>
        <w:t xml:space="preserve"> Mat</w:t>
      </w:r>
      <w:r w:rsidR="00444A6C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as Orellana</w:t>
      </w:r>
      <w:r w:rsidR="00444A6C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nte la renuncia de Anita Leal, me comprometo apoyar en todo lo que resta del periodo de</w:t>
      </w:r>
      <w:r w:rsidR="00F60D6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Cosoc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14E29" w:rsidRDefault="00914E29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Ejecutiva</w:t>
      </w:r>
      <w:r w:rsidR="00444A6C">
        <w:rPr>
          <w:rFonts w:ascii="Arial" w:hAnsi="Arial" w:cs="Arial"/>
          <w:sz w:val="24"/>
          <w:szCs w:val="24"/>
        </w:rPr>
        <w:t>: p</w:t>
      </w:r>
      <w:r>
        <w:rPr>
          <w:rFonts w:ascii="Arial" w:hAnsi="Arial" w:cs="Arial"/>
          <w:sz w:val="24"/>
          <w:szCs w:val="24"/>
        </w:rPr>
        <w:t xml:space="preserve">odríamos esperar alguna respuesta a </w:t>
      </w:r>
      <w:r w:rsidR="00444A6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consulta que enviamos a la DOS para ver proced</w:t>
      </w:r>
      <w:r w:rsidR="00444A6C">
        <w:rPr>
          <w:rFonts w:ascii="Arial" w:hAnsi="Arial" w:cs="Arial"/>
          <w:sz w:val="24"/>
          <w:szCs w:val="24"/>
        </w:rPr>
        <w:t xml:space="preserve">imiento </w:t>
      </w:r>
      <w:r>
        <w:rPr>
          <w:rFonts w:ascii="Arial" w:hAnsi="Arial" w:cs="Arial"/>
          <w:sz w:val="24"/>
          <w:szCs w:val="24"/>
        </w:rPr>
        <w:t xml:space="preserve">de </w:t>
      </w:r>
      <w:r w:rsidR="00444A6C">
        <w:rPr>
          <w:rFonts w:ascii="Arial" w:hAnsi="Arial" w:cs="Arial"/>
          <w:sz w:val="24"/>
          <w:szCs w:val="24"/>
        </w:rPr>
        <w:t xml:space="preserve">la </w:t>
      </w:r>
      <w:r w:rsidR="00641A7F">
        <w:rPr>
          <w:rFonts w:ascii="Arial" w:hAnsi="Arial" w:cs="Arial"/>
          <w:sz w:val="24"/>
          <w:szCs w:val="24"/>
        </w:rPr>
        <w:t>elección.</w:t>
      </w:r>
    </w:p>
    <w:p w:rsidR="00914E29" w:rsidRDefault="00914E29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Vicepresidente: </w:t>
      </w:r>
      <w:r w:rsidR="007945D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speraremos la respuesta</w:t>
      </w:r>
      <w:r w:rsidR="007945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 embargo</w:t>
      </w:r>
      <w:r w:rsidR="007945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elección para los cargos internos debiera ser como la primera </w:t>
      </w:r>
      <w:r w:rsidR="00641A7F">
        <w:rPr>
          <w:rFonts w:ascii="Arial" w:hAnsi="Arial" w:cs="Arial"/>
          <w:sz w:val="24"/>
          <w:szCs w:val="24"/>
        </w:rPr>
        <w:t>vez,</w:t>
      </w:r>
      <w:r>
        <w:rPr>
          <w:rFonts w:ascii="Arial" w:hAnsi="Arial" w:cs="Arial"/>
          <w:sz w:val="24"/>
          <w:szCs w:val="24"/>
        </w:rPr>
        <w:t xml:space="preserve"> es decir de forma </w:t>
      </w:r>
      <w:r w:rsidR="00641A7F">
        <w:rPr>
          <w:rFonts w:ascii="Arial" w:hAnsi="Arial" w:cs="Arial"/>
          <w:sz w:val="24"/>
          <w:szCs w:val="24"/>
        </w:rPr>
        <w:t>electrónica.</w:t>
      </w:r>
    </w:p>
    <w:p w:rsidR="00914E29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no tengamos resuelto lo de directiva, no podremos tener una mesa de trabajo</w:t>
      </w:r>
      <w:r w:rsidR="007945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4E29" w:rsidRDefault="00914E29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</w:t>
      </w:r>
      <w:proofErr w:type="spellStart"/>
      <w:r>
        <w:rPr>
          <w:rFonts w:ascii="Arial" w:hAnsi="Arial" w:cs="Arial"/>
          <w:sz w:val="24"/>
          <w:szCs w:val="24"/>
        </w:rPr>
        <w:t>Marjorie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41A7F">
        <w:rPr>
          <w:rFonts w:ascii="Arial" w:hAnsi="Arial" w:cs="Arial"/>
          <w:sz w:val="24"/>
          <w:szCs w:val="24"/>
        </w:rPr>
        <w:t>Castillo</w:t>
      </w:r>
      <w:r w:rsidR="007945D6">
        <w:rPr>
          <w:rFonts w:ascii="Arial" w:hAnsi="Arial" w:cs="Arial"/>
          <w:sz w:val="24"/>
          <w:szCs w:val="24"/>
        </w:rPr>
        <w:t>: s</w:t>
      </w:r>
      <w:r w:rsidR="00456C3D">
        <w:rPr>
          <w:rFonts w:ascii="Arial" w:hAnsi="Arial" w:cs="Arial"/>
          <w:sz w:val="24"/>
          <w:szCs w:val="24"/>
        </w:rPr>
        <w:t>olicito que se actúe</w:t>
      </w:r>
      <w:r>
        <w:rPr>
          <w:rFonts w:ascii="Arial" w:hAnsi="Arial" w:cs="Arial"/>
          <w:sz w:val="24"/>
          <w:szCs w:val="24"/>
        </w:rPr>
        <w:t xml:space="preserve"> de acuerdo a</w:t>
      </w:r>
      <w:r w:rsidR="007945D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641A7F">
        <w:rPr>
          <w:rFonts w:ascii="Arial" w:hAnsi="Arial" w:cs="Arial"/>
          <w:sz w:val="24"/>
          <w:szCs w:val="24"/>
        </w:rPr>
        <w:t>reglamento</w:t>
      </w:r>
      <w:r w:rsidR="007945D6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igo teniendo dudas </w:t>
      </w:r>
      <w:r w:rsidR="007945D6">
        <w:rPr>
          <w:rFonts w:ascii="Arial" w:hAnsi="Arial" w:cs="Arial"/>
          <w:sz w:val="24"/>
          <w:szCs w:val="24"/>
        </w:rPr>
        <w:t>sobre el</w:t>
      </w:r>
      <w:r>
        <w:rPr>
          <w:rFonts w:ascii="Arial" w:hAnsi="Arial" w:cs="Arial"/>
          <w:sz w:val="24"/>
          <w:szCs w:val="24"/>
        </w:rPr>
        <w:t xml:space="preserve"> </w:t>
      </w:r>
      <w:r w:rsidR="00641A7F">
        <w:rPr>
          <w:rFonts w:ascii="Arial" w:hAnsi="Arial" w:cs="Arial"/>
          <w:sz w:val="24"/>
          <w:szCs w:val="24"/>
        </w:rPr>
        <w:t>procedimiento.</w:t>
      </w:r>
    </w:p>
    <w:p w:rsidR="00914E29" w:rsidRDefault="00914E29" w:rsidP="00914E2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Consejero Carlos </w:t>
      </w:r>
      <w:r w:rsidR="00516548">
        <w:rPr>
          <w:rFonts w:ascii="Arial" w:hAnsi="Arial" w:cs="Arial"/>
          <w:sz w:val="24"/>
          <w:szCs w:val="24"/>
        </w:rPr>
        <w:t>Alvear</w:t>
      </w:r>
      <w:r w:rsidR="007945D6">
        <w:rPr>
          <w:rFonts w:ascii="Arial" w:hAnsi="Arial" w:cs="Arial"/>
          <w:sz w:val="24"/>
          <w:szCs w:val="24"/>
        </w:rPr>
        <w:t>: e</w:t>
      </w:r>
      <w:r>
        <w:rPr>
          <w:rFonts w:ascii="Arial" w:hAnsi="Arial" w:cs="Arial"/>
          <w:sz w:val="24"/>
          <w:szCs w:val="24"/>
        </w:rPr>
        <w:t xml:space="preserve">stamos en estado de Excepción </w:t>
      </w:r>
      <w:r w:rsidR="00516548">
        <w:rPr>
          <w:rFonts w:ascii="Arial" w:hAnsi="Arial" w:cs="Arial"/>
          <w:sz w:val="24"/>
          <w:szCs w:val="24"/>
        </w:rPr>
        <w:t>Constitucional,</w:t>
      </w:r>
      <w:r>
        <w:rPr>
          <w:rFonts w:ascii="Arial" w:hAnsi="Arial" w:cs="Arial"/>
          <w:sz w:val="24"/>
          <w:szCs w:val="24"/>
        </w:rPr>
        <w:t xml:space="preserve"> no hay </w:t>
      </w:r>
      <w:r w:rsidR="00516548">
        <w:rPr>
          <w:rFonts w:ascii="Arial" w:hAnsi="Arial" w:cs="Arial"/>
          <w:sz w:val="24"/>
          <w:szCs w:val="24"/>
        </w:rPr>
        <w:t>parangón.</w:t>
      </w:r>
    </w:p>
    <w:p w:rsidR="00914E29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Corte Suprema sac</w:t>
      </w:r>
      <w:r w:rsidR="00942F91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un auto acordado para que puedan funcionar los juicios, se regul</w:t>
      </w:r>
      <w:r w:rsidR="007945D6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todo, propongamos una simplificación para que sigamos avanzando.</w:t>
      </w:r>
    </w:p>
    <w:p w:rsidR="00914E29" w:rsidRPr="00CC2CFC" w:rsidRDefault="00914E29" w:rsidP="00914E29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C2CFC">
        <w:rPr>
          <w:rFonts w:ascii="Arial" w:hAnsi="Arial" w:cs="Arial"/>
          <w:sz w:val="24"/>
          <w:szCs w:val="24"/>
        </w:rPr>
        <w:t>Secretario de actas</w:t>
      </w:r>
      <w:r w:rsidR="007945D6">
        <w:rPr>
          <w:rFonts w:ascii="Arial" w:hAnsi="Arial" w:cs="Arial"/>
          <w:sz w:val="24"/>
          <w:szCs w:val="24"/>
        </w:rPr>
        <w:t>: s</w:t>
      </w:r>
      <w:r w:rsidRPr="00CC2CFC">
        <w:rPr>
          <w:rFonts w:ascii="Arial" w:hAnsi="Arial" w:cs="Arial"/>
          <w:sz w:val="24"/>
          <w:szCs w:val="24"/>
        </w:rPr>
        <w:t xml:space="preserve">e somete a votación que la elección de directiva compuesta por un presidente/a y </w:t>
      </w:r>
      <w:r w:rsidR="007945D6">
        <w:rPr>
          <w:rFonts w:ascii="Arial" w:hAnsi="Arial" w:cs="Arial"/>
          <w:sz w:val="24"/>
          <w:szCs w:val="24"/>
        </w:rPr>
        <w:t>v</w:t>
      </w:r>
      <w:r w:rsidRPr="00CC2CFC">
        <w:rPr>
          <w:rFonts w:ascii="Arial" w:hAnsi="Arial" w:cs="Arial"/>
          <w:sz w:val="24"/>
          <w:szCs w:val="24"/>
        </w:rPr>
        <w:t>icepresidenta/e sea de forma electrónica y en</w:t>
      </w:r>
      <w:r w:rsidR="00456C3D">
        <w:rPr>
          <w:rFonts w:ascii="Arial" w:hAnsi="Arial" w:cs="Arial"/>
          <w:sz w:val="24"/>
          <w:szCs w:val="24"/>
        </w:rPr>
        <w:t xml:space="preserve"> </w:t>
      </w:r>
      <w:r w:rsidRPr="00CC2CFC">
        <w:rPr>
          <w:rFonts w:ascii="Arial" w:hAnsi="Arial" w:cs="Arial"/>
          <w:sz w:val="24"/>
          <w:szCs w:val="24"/>
        </w:rPr>
        <w:t>tercera sesión</w:t>
      </w:r>
      <w:r w:rsidR="00456C3D">
        <w:rPr>
          <w:rFonts w:ascii="Arial" w:hAnsi="Arial" w:cs="Arial"/>
          <w:sz w:val="24"/>
          <w:szCs w:val="24"/>
        </w:rPr>
        <w:t xml:space="preserve"> </w:t>
      </w:r>
      <w:r w:rsidRPr="00CC2CFC">
        <w:rPr>
          <w:rFonts w:ascii="Arial" w:hAnsi="Arial" w:cs="Arial"/>
          <w:sz w:val="24"/>
          <w:szCs w:val="24"/>
        </w:rPr>
        <w:t>sean informado los resultados.</w:t>
      </w:r>
    </w:p>
    <w:p w:rsidR="007945D6" w:rsidRDefault="007945D6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Default="007945D6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914E29">
        <w:rPr>
          <w:rFonts w:ascii="Arial" w:hAnsi="Arial" w:cs="Arial"/>
          <w:sz w:val="24"/>
          <w:szCs w:val="24"/>
        </w:rPr>
        <w:t xml:space="preserve">mayoría de </w:t>
      </w:r>
      <w:r>
        <w:rPr>
          <w:rFonts w:ascii="Arial" w:hAnsi="Arial" w:cs="Arial"/>
          <w:sz w:val="24"/>
          <w:szCs w:val="24"/>
        </w:rPr>
        <w:t>c</w:t>
      </w:r>
      <w:r w:rsidR="00516548">
        <w:rPr>
          <w:rFonts w:ascii="Arial" w:hAnsi="Arial" w:cs="Arial"/>
          <w:sz w:val="24"/>
          <w:szCs w:val="24"/>
        </w:rPr>
        <w:t>onsejero</w:t>
      </w:r>
      <w:r w:rsidR="00914E29">
        <w:rPr>
          <w:rFonts w:ascii="Arial" w:hAnsi="Arial" w:cs="Arial"/>
          <w:sz w:val="24"/>
          <w:szCs w:val="24"/>
        </w:rPr>
        <w:t>/as asientes</w:t>
      </w:r>
      <w:r w:rsidR="00456C3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14E29">
        <w:rPr>
          <w:rFonts w:ascii="Arial" w:hAnsi="Arial" w:cs="Arial"/>
          <w:sz w:val="24"/>
          <w:szCs w:val="24"/>
        </w:rPr>
        <w:t>se aprueba esta idea.</w:t>
      </w:r>
    </w:p>
    <w:p w:rsidR="00D70C24" w:rsidRDefault="00D70C24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70C24" w:rsidRDefault="00D70C24" w:rsidP="00D70C24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ejecutiva</w:t>
      </w:r>
      <w:r w:rsidR="007945D6">
        <w:rPr>
          <w:rFonts w:ascii="Arial" w:hAnsi="Arial" w:cs="Arial"/>
          <w:sz w:val="24"/>
          <w:szCs w:val="24"/>
        </w:rPr>
        <w:t>: ¿qué</w:t>
      </w:r>
      <w:r>
        <w:rPr>
          <w:rFonts w:ascii="Arial" w:hAnsi="Arial" w:cs="Arial"/>
          <w:sz w:val="24"/>
          <w:szCs w:val="24"/>
        </w:rPr>
        <w:t xml:space="preserve"> otro punto debiéramos abordar y dejar propuesto para </w:t>
      </w:r>
      <w:r w:rsidR="007945D6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próxima sesión?</w:t>
      </w:r>
    </w:p>
    <w:p w:rsidR="00D70C24" w:rsidRDefault="00D70C24" w:rsidP="00D70C24">
      <w:pPr>
        <w:pStyle w:val="Prrafodelista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</w:t>
      </w:r>
      <w:r w:rsidR="007945D6">
        <w:rPr>
          <w:rFonts w:ascii="Arial" w:hAnsi="Arial" w:cs="Arial"/>
          <w:sz w:val="24"/>
          <w:szCs w:val="24"/>
        </w:rPr>
        <w:t>: s</w:t>
      </w:r>
      <w:r>
        <w:rPr>
          <w:rFonts w:ascii="Arial" w:hAnsi="Arial" w:cs="Arial"/>
          <w:sz w:val="24"/>
          <w:szCs w:val="24"/>
        </w:rPr>
        <w:t xml:space="preserve">ería conveniente tener </w:t>
      </w:r>
      <w:r w:rsidR="007945D6"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 xml:space="preserve">reunión con </w:t>
      </w:r>
      <w:r w:rsidR="007945D6">
        <w:rPr>
          <w:rFonts w:ascii="Arial" w:hAnsi="Arial" w:cs="Arial"/>
          <w:sz w:val="24"/>
          <w:szCs w:val="24"/>
        </w:rPr>
        <w:t>la directora</w:t>
      </w:r>
      <w:r w:rsidR="00456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(s) </w:t>
      </w:r>
    </w:p>
    <w:p w:rsidR="005461B6" w:rsidRDefault="005461B6" w:rsidP="005461B6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61B6" w:rsidRDefault="005461B6" w:rsidP="005461B6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5612130" cy="3367278"/>
            <wp:effectExtent l="19050" t="0" r="7620" b="0"/>
            <wp:docPr id="1" name="Imagen 1" descr="C:\Users\hugo.marivil\AppData\Local\Microsoft\Windows\Temporary Internet Files\Content.Word\WhatsApp Image 2020-08-13 at 14.2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o.marivil\AppData\Local\Microsoft\Windows\Temporary Internet Files\Content.Word\WhatsApp Image 2020-08-13 at 14.20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6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B6" w:rsidRDefault="005461B6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25353C">
        <w:rPr>
          <w:rFonts w:ascii="Arial" w:hAnsi="Arial" w:cs="Arial"/>
          <w:b/>
          <w:sz w:val="24"/>
          <w:szCs w:val="24"/>
        </w:rPr>
        <w:t>T</w:t>
      </w:r>
      <w:r w:rsidR="00DA1E01">
        <w:rPr>
          <w:rFonts w:ascii="Arial" w:hAnsi="Arial" w:cs="Arial"/>
          <w:b/>
          <w:sz w:val="24"/>
          <w:szCs w:val="24"/>
        </w:rPr>
        <w:t>É</w:t>
      </w:r>
      <w:r w:rsidRPr="0025353C">
        <w:rPr>
          <w:rFonts w:ascii="Arial" w:hAnsi="Arial" w:cs="Arial"/>
          <w:b/>
          <w:sz w:val="24"/>
          <w:szCs w:val="24"/>
        </w:rPr>
        <w:t xml:space="preserve">RMINO DE SESIÓN 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La reunión </w:t>
      </w:r>
      <w:r w:rsidR="00DA1E01">
        <w:rPr>
          <w:rFonts w:ascii="Arial" w:hAnsi="Arial" w:cs="Arial"/>
          <w:sz w:val="24"/>
          <w:szCs w:val="24"/>
        </w:rPr>
        <w:t>f</w:t>
      </w:r>
      <w:r w:rsidRPr="0025353C">
        <w:rPr>
          <w:rFonts w:ascii="Arial" w:hAnsi="Arial" w:cs="Arial"/>
          <w:sz w:val="24"/>
          <w:szCs w:val="24"/>
        </w:rPr>
        <w:t>inaliza a las 1</w:t>
      </w:r>
      <w:r w:rsidR="00D70C24">
        <w:rPr>
          <w:rFonts w:ascii="Arial" w:hAnsi="Arial" w:cs="Arial"/>
          <w:sz w:val="24"/>
          <w:szCs w:val="24"/>
        </w:rPr>
        <w:t>1</w:t>
      </w:r>
      <w:r w:rsidR="00DA1E01">
        <w:rPr>
          <w:rFonts w:ascii="Arial" w:hAnsi="Arial" w:cs="Arial"/>
          <w:sz w:val="24"/>
          <w:szCs w:val="24"/>
        </w:rPr>
        <w:t>.</w:t>
      </w:r>
      <w:r w:rsidR="00D70C24">
        <w:rPr>
          <w:rFonts w:ascii="Arial" w:hAnsi="Arial" w:cs="Arial"/>
          <w:sz w:val="24"/>
          <w:szCs w:val="24"/>
        </w:rPr>
        <w:t>40</w:t>
      </w:r>
      <w:r w:rsidRPr="002535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E01">
        <w:rPr>
          <w:rFonts w:ascii="Arial" w:hAnsi="Arial" w:cs="Arial"/>
          <w:sz w:val="24"/>
          <w:szCs w:val="24"/>
        </w:rPr>
        <w:t>H</w:t>
      </w:r>
      <w:r w:rsidRPr="0025353C">
        <w:rPr>
          <w:rFonts w:ascii="Arial" w:hAnsi="Arial" w:cs="Arial"/>
          <w:sz w:val="24"/>
          <w:szCs w:val="24"/>
        </w:rPr>
        <w:t>rs</w:t>
      </w:r>
      <w:proofErr w:type="spellEnd"/>
      <w:r w:rsidRPr="0025353C">
        <w:rPr>
          <w:rFonts w:ascii="Arial" w:hAnsi="Arial" w:cs="Arial"/>
          <w:sz w:val="24"/>
          <w:szCs w:val="24"/>
        </w:rPr>
        <w:t>.</w:t>
      </w:r>
    </w:p>
    <w:p w:rsidR="00DA1E01" w:rsidRDefault="00DA1E01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Default="00914E29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audio de  </w:t>
      </w:r>
      <w:r w:rsidR="00DA1E01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sesión será adosado en</w:t>
      </w:r>
      <w:r w:rsidR="00DA1E01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="00D70C24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 xml:space="preserve"> web</w:t>
      </w:r>
      <w:r w:rsidR="00DA1E01">
        <w:rPr>
          <w:rFonts w:ascii="Arial" w:hAnsi="Arial" w:cs="Arial"/>
          <w:sz w:val="24"/>
          <w:szCs w:val="24"/>
        </w:rPr>
        <w:t xml:space="preserve"> del servicio.</w:t>
      </w:r>
    </w:p>
    <w:p w:rsidR="005461B6" w:rsidRPr="00091255" w:rsidRDefault="005461B6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914E29" w:rsidRDefault="00914E29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735245">
        <w:rPr>
          <w:rFonts w:ascii="Arial" w:hAnsi="Arial" w:cs="Arial"/>
          <w:b/>
          <w:sz w:val="24"/>
          <w:szCs w:val="24"/>
        </w:rPr>
        <w:lastRenderedPageBreak/>
        <w:t>DOCUMENTOS ANEXOS</w:t>
      </w:r>
    </w:p>
    <w:p w:rsidR="005A61EA" w:rsidRDefault="005A61EA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-Anexo 1, protocolos, acciones y rutinas en centros y residencias familiares de Sename por contexto sanitario Covid-19</w:t>
      </w:r>
    </w:p>
    <w:p w:rsidR="00D245F3" w:rsidRDefault="00D245F3" w:rsidP="007D36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/>
        </w:rPr>
        <w:t xml:space="preserve">-Anexo 2, </w:t>
      </w:r>
      <w:r w:rsidR="007D368B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minuta </w:t>
      </w:r>
      <w:r w:rsidRPr="00D245F3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 </w:t>
      </w:r>
      <w:r w:rsidR="007D368B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técnica </w:t>
      </w:r>
      <w:r w:rsidRPr="00D245F3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 NNAJ </w:t>
      </w:r>
      <w:r w:rsidR="007D368B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población de alto riesgo en salud y/o con necesidades especiales </w:t>
      </w:r>
      <w:r w:rsidRPr="00D245F3"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 </w:t>
      </w:r>
    </w:p>
    <w:p w:rsidR="007D368B" w:rsidRDefault="007D368B" w:rsidP="007D36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bdr w:val="none" w:sz="0" w:space="0" w:color="auto" w:frame="1"/>
        </w:rPr>
      </w:pPr>
    </w:p>
    <w:p w:rsidR="007D368B" w:rsidRDefault="007D368B" w:rsidP="007D36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/>
          <w:color w:val="000000" w:themeColor="text1"/>
          <w:bdr w:val="none" w:sz="0" w:space="0" w:color="auto" w:frame="1"/>
        </w:rPr>
        <w:t xml:space="preserve">-Link </w:t>
      </w:r>
    </w:p>
    <w:p w:rsidR="007D368B" w:rsidRDefault="00697B28" w:rsidP="007D36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bdr w:val="none" w:sz="0" w:space="0" w:color="auto" w:frame="1"/>
        </w:rPr>
      </w:pPr>
      <w:hyperlink r:id="rId7" w:history="1">
        <w:r w:rsidR="007D368B">
          <w:rPr>
            <w:rStyle w:val="Hipervnculo"/>
          </w:rPr>
          <w:t>https://www.sename.cl/web/index.php/plan-coronavirus-sename/</w:t>
        </w:r>
      </w:hyperlink>
    </w:p>
    <w:p w:rsidR="00D05D88" w:rsidRDefault="00D05D88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091255" w:rsidRDefault="00091255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-Anexo 3, respuesta de Francisco Reyes Van Bebber de Ministerio Secretaria General de Gobierno con relación a procedimiento de elecciones y reuniones remotas en pandemia, dictamen de cont</w:t>
      </w:r>
      <w:r w:rsidR="00516548">
        <w:rPr>
          <w:rFonts w:ascii="Arial" w:hAnsi="Arial" w:cs="Arial"/>
          <w:b/>
          <w:sz w:val="24"/>
          <w:szCs w:val="24"/>
        </w:rPr>
        <w:t xml:space="preserve">raloría se subirá a banner de </w:t>
      </w:r>
      <w:proofErr w:type="spellStart"/>
      <w:r>
        <w:rPr>
          <w:rFonts w:ascii="Arial" w:hAnsi="Arial" w:cs="Arial"/>
          <w:b/>
          <w:sz w:val="24"/>
          <w:szCs w:val="24"/>
        </w:rPr>
        <w:t>Cosoc-Sename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r w:rsidR="00516548">
        <w:rPr>
          <w:rFonts w:ascii="Arial" w:hAnsi="Arial" w:cs="Arial"/>
          <w:b/>
          <w:sz w:val="24"/>
          <w:szCs w:val="24"/>
        </w:rPr>
        <w:t>página</w:t>
      </w:r>
      <w:r w:rsidR="00456C3D">
        <w:rPr>
          <w:rFonts w:ascii="Arial" w:hAnsi="Arial" w:cs="Arial"/>
          <w:b/>
          <w:sz w:val="24"/>
          <w:szCs w:val="24"/>
        </w:rPr>
        <w:t xml:space="preserve"> web.</w:t>
      </w:r>
    </w:p>
    <w:p w:rsidR="005A61EA" w:rsidRDefault="005A61EA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461B6" w:rsidRDefault="005461B6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A61EA" w:rsidRPr="00D05D88" w:rsidRDefault="00D05D88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5D88">
        <w:rPr>
          <w:rFonts w:ascii="Arial" w:hAnsi="Arial" w:cs="Arial"/>
          <w:b/>
          <w:sz w:val="24"/>
          <w:szCs w:val="24"/>
          <w:u w:val="single"/>
        </w:rPr>
        <w:t>ANEXO 1</w:t>
      </w:r>
    </w:p>
    <w:p w:rsidR="005A61EA" w:rsidRDefault="005A61EA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</w:p>
    <w:p w:rsidR="005A61EA" w:rsidRPr="00735245" w:rsidRDefault="005A61EA" w:rsidP="00735245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5A61EA"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1104900" cy="962025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4" cy="9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EA" w:rsidRDefault="005A61EA" w:rsidP="005A61EA">
      <w:pPr>
        <w:pStyle w:val="Normal1"/>
      </w:pPr>
    </w:p>
    <w:p w:rsidR="005A61EA" w:rsidRDefault="005A61EA" w:rsidP="005A61EA">
      <w:pPr>
        <w:pStyle w:val="Normal1"/>
        <w:jc w:val="center"/>
        <w:rPr>
          <w:b/>
        </w:rPr>
      </w:pPr>
      <w:r>
        <w:rPr>
          <w:b/>
        </w:rPr>
        <w:t xml:space="preserve">Minuta </w:t>
      </w:r>
    </w:p>
    <w:p w:rsidR="005A61EA" w:rsidRDefault="005A61EA" w:rsidP="005A61EA">
      <w:pPr>
        <w:pStyle w:val="Normal1"/>
        <w:jc w:val="center"/>
        <w:rPr>
          <w:b/>
        </w:rPr>
      </w:pPr>
      <w:r>
        <w:rPr>
          <w:b/>
        </w:rPr>
        <w:t>Protocolos, acciones y r</w:t>
      </w:r>
      <w:r w:rsidRPr="00C46CBC">
        <w:rPr>
          <w:b/>
        </w:rPr>
        <w:t>utinas en centros y residencias familiares de Sename</w:t>
      </w:r>
    </w:p>
    <w:p w:rsidR="005A61EA" w:rsidRPr="00C46CBC" w:rsidRDefault="005A61EA" w:rsidP="005A61EA">
      <w:pPr>
        <w:pStyle w:val="Normal1"/>
        <w:jc w:val="center"/>
        <w:rPr>
          <w:b/>
        </w:rPr>
      </w:pPr>
      <w:r>
        <w:rPr>
          <w:b/>
        </w:rPr>
        <w:t>Por contexto sanitario Covid-19</w:t>
      </w:r>
    </w:p>
    <w:p w:rsidR="005A61EA" w:rsidRDefault="005A61EA" w:rsidP="005A61EA">
      <w:pPr>
        <w:pStyle w:val="Normal1"/>
        <w:jc w:val="both"/>
      </w:pPr>
    </w:p>
    <w:p w:rsidR="005A61EA" w:rsidRDefault="005A61EA" w:rsidP="005A61EA">
      <w:pPr>
        <w:pStyle w:val="Normal1"/>
        <w:jc w:val="both"/>
      </w:pPr>
    </w:p>
    <w:p w:rsidR="005A61EA" w:rsidRDefault="005A61EA" w:rsidP="005A61EA">
      <w:pPr>
        <w:pStyle w:val="Normal1"/>
        <w:jc w:val="both"/>
      </w:pPr>
    </w:p>
    <w:p w:rsidR="005A61EA" w:rsidRDefault="005A61EA" w:rsidP="005A61EA">
      <w:pPr>
        <w:pStyle w:val="Normal1"/>
        <w:numPr>
          <w:ilvl w:val="0"/>
          <w:numId w:val="6"/>
        </w:numPr>
        <w:jc w:val="both"/>
      </w:pPr>
      <w:r>
        <w:t>Los centros del Sename no están ajenos a la pandemia mundial.</w:t>
      </w:r>
    </w:p>
    <w:p w:rsidR="005A61EA" w:rsidRDefault="005A61EA" w:rsidP="005A61EA">
      <w:pPr>
        <w:pStyle w:val="Normal1"/>
        <w:numPr>
          <w:ilvl w:val="0"/>
          <w:numId w:val="6"/>
        </w:numPr>
        <w:jc w:val="both"/>
      </w:pPr>
      <w:r>
        <w:t>En todos los centros de la red Sename, incluidos los de justicia juvenil y de protección, se están tomando estrictas medidas preventivas desde el 16 de marzo cuando se decretó el aislamiento preventivo, lo que implica, entre otros aspectos, la restricción de visitas y la aplicación de diversos protocolos al interior de los recintos.</w:t>
      </w:r>
    </w:p>
    <w:p w:rsidR="005A61EA" w:rsidRDefault="005A61EA" w:rsidP="005A61EA">
      <w:pPr>
        <w:pStyle w:val="Normal1"/>
        <w:numPr>
          <w:ilvl w:val="0"/>
          <w:numId w:val="6"/>
        </w:numPr>
        <w:jc w:val="both"/>
      </w:pPr>
      <w:r>
        <w:t xml:space="preserve">En caso de que exista una sospecha de contagio o un contagio confirmado, tanto en las residencias de protección como en los centros de justicia juvenil se aplican los protocolos que se han trabajado desde el primer día junto al </w:t>
      </w:r>
      <w:proofErr w:type="spellStart"/>
      <w:r>
        <w:t>Minsal</w:t>
      </w:r>
      <w:proofErr w:type="spellEnd"/>
      <w:r>
        <w:t>, incluyendo el aislamiento de los niños o jóvenes y la entrega de implementos especiales de protección a los funcionarios que los atienden.</w:t>
      </w:r>
    </w:p>
    <w:p w:rsidR="005A61EA" w:rsidRPr="00C46CBC" w:rsidRDefault="005A61EA" w:rsidP="005A61EA">
      <w:pPr>
        <w:pStyle w:val="Normal1"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  <w:r w:rsidRPr="001B5C08">
        <w:rPr>
          <w:b/>
          <w:u w:val="single"/>
        </w:rPr>
        <w:t>Desarrollo de protocolos</w:t>
      </w:r>
    </w:p>
    <w:p w:rsidR="005A61EA" w:rsidRPr="001B5C08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 w:rsidRPr="00C46CBC">
        <w:t xml:space="preserve">Cabe precisar que Sename trabaja con niños, niñas y adolescentes (NNA) en dos grandes áreas: Protección y Justicia Juvenil, cada área tiene sus protocolos de atención y convivencia específicos. Sobre las medidas implementadas, podemos mencionar que, en primer término, </w:t>
      </w:r>
      <w:r w:rsidRPr="001B5C08">
        <w:rPr>
          <w:b/>
        </w:rPr>
        <w:t>se determinó una restricción a las actividades</w:t>
      </w:r>
      <w:r w:rsidRPr="00C46CBC">
        <w:t xml:space="preserve"> que se realizan habitualmente fuera de la</w:t>
      </w:r>
      <w:r>
        <w:t>s</w:t>
      </w:r>
      <w:r w:rsidRPr="00C46CBC">
        <w:t xml:space="preserve"> residencia</w:t>
      </w:r>
      <w:r>
        <w:t>s</w:t>
      </w:r>
      <w:r w:rsidRPr="00C46CBC">
        <w:t xml:space="preserve"> para evitar el contagio y propagación de la enfermedad.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  <w:r w:rsidRPr="00C46CBC">
        <w:t xml:space="preserve">Además, desde que </w:t>
      </w:r>
      <w:r>
        <w:t>el Ejecutivo anunc</w:t>
      </w:r>
      <w:r w:rsidR="00456C3D">
        <w:t>ió las medidas preventivas, el s</w:t>
      </w:r>
      <w:r w:rsidRPr="00C46CBC">
        <w:t xml:space="preserve">ervicio </w:t>
      </w:r>
      <w:r w:rsidRPr="001B5C08">
        <w:rPr>
          <w:b/>
        </w:rPr>
        <w:t>desarrolló una serie de protocolos disponibles en la web institucional</w:t>
      </w:r>
      <w:r w:rsidRPr="00C46CBC">
        <w:t xml:space="preserve"> </w:t>
      </w:r>
      <w:hyperlink r:id="rId8" w:history="1">
        <w:r w:rsidRPr="00C46CBC">
          <w:rPr>
            <w:rStyle w:val="Hipervnculo"/>
          </w:rPr>
          <w:t>www.sename.cl</w:t>
        </w:r>
      </w:hyperlink>
      <w:r>
        <w:t xml:space="preserve"> . Estos protocolos están orientados a la adopción </w:t>
      </w:r>
      <w:r w:rsidR="00C12FC0">
        <w:t xml:space="preserve">de las </w:t>
      </w:r>
      <w:r>
        <w:t>medidas y resguardos que sean necesarios con el objetivo de cuidar la salud de niños, niñas, adolescentes y jóvenes</w:t>
      </w:r>
      <w:r w:rsidR="00456C3D">
        <w:t xml:space="preserve"> de la red </w:t>
      </w:r>
      <w:proofErr w:type="spellStart"/>
      <w:r w:rsidR="00456C3D">
        <w:t>Sename</w:t>
      </w:r>
      <w:proofErr w:type="spellEnd"/>
      <w:r w:rsidR="00456C3D">
        <w:t>, como también</w:t>
      </w:r>
      <w:r>
        <w:t xml:space="preserve"> de las funcionarias y funcionarios.</w:t>
      </w:r>
    </w:p>
    <w:p w:rsidR="005A61EA" w:rsidRDefault="005A61EA" w:rsidP="005A61EA">
      <w:pPr>
        <w:pStyle w:val="Normal1"/>
        <w:spacing w:line="240" w:lineRule="auto"/>
        <w:contextualSpacing/>
        <w:jc w:val="both"/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>
        <w:t>En ellos se establecieron</w:t>
      </w:r>
      <w:r w:rsidRPr="00C46CBC">
        <w:t xml:space="preserve"> </w:t>
      </w:r>
      <w:r w:rsidRPr="00123FEB">
        <w:rPr>
          <w:b/>
        </w:rPr>
        <w:t>orientaciones en relación a las medidas de prevención</w:t>
      </w:r>
      <w:r w:rsidRPr="00C46CBC">
        <w:t xml:space="preserve"> que se han adoptado en las residencias de protección y centros de justicia juvenil,</w:t>
      </w:r>
      <w:r>
        <w:t xml:space="preserve"> y también se especificaron</w:t>
      </w:r>
      <w:r w:rsidRPr="00C46CBC">
        <w:t xml:space="preserve"> los </w:t>
      </w:r>
      <w:r w:rsidRPr="00123FEB">
        <w:rPr>
          <w:b/>
        </w:rPr>
        <w:t>criterios recomendados en materia de visitas y el control sanitario que se aplica al ingreso de los recintos</w:t>
      </w:r>
      <w:r>
        <w:t>. Asimismo, se entregaron</w:t>
      </w:r>
      <w:r w:rsidRPr="00C46CBC">
        <w:t xml:space="preserve"> las orientaciones necesarias y coordina</w:t>
      </w:r>
      <w:r>
        <w:t>das según lo previsto por Salud</w:t>
      </w:r>
      <w:r w:rsidRPr="00C46CBC">
        <w:t xml:space="preserve"> en caso de que exista un contagio como, por ejemplo, disponer de un lugar aislado para que el niño, niña o adolescente pueda </w:t>
      </w:r>
      <w:r w:rsidRPr="00C46CBC">
        <w:lastRenderedPageBreak/>
        <w:t>realizar su cuarentena o derivar a algún centro asistencial</w:t>
      </w:r>
      <w:r w:rsidR="00456C3D">
        <w:t>,</w:t>
      </w:r>
      <w:r w:rsidRPr="00C46CBC">
        <w:t xml:space="preserve"> </w:t>
      </w:r>
      <w:r w:rsidR="00456C3D" w:rsidRPr="00C46CBC">
        <w:t>dependiendo</w:t>
      </w:r>
      <w:r w:rsidRPr="00C46CBC">
        <w:t xml:space="preserve"> sea el caso particular.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ind w:left="720"/>
        <w:contextualSpacing/>
        <w:jc w:val="both"/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  <w:r w:rsidRPr="00705C81">
        <w:rPr>
          <w:b/>
          <w:u w:val="single"/>
        </w:rPr>
        <w:t>Reforzamientos de rutinas en las residencias familiares y centros</w:t>
      </w:r>
    </w:p>
    <w:p w:rsidR="005A61EA" w:rsidRPr="00705C81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 w:rsidRPr="00C46CBC">
        <w:t>En las residencias familiares,</w:t>
      </w:r>
      <w:r w:rsidRPr="00C46CBC">
        <w:rPr>
          <w:highlight w:val="white"/>
        </w:rPr>
        <w:t xml:space="preserve"> centros de reparación especializada de administración directa (Cread) y centros de justicia juvenil</w:t>
      </w:r>
      <w:r w:rsidRPr="00C46CBC">
        <w:t xml:space="preserve">, </w:t>
      </w:r>
      <w:r w:rsidRPr="005800B2">
        <w:rPr>
          <w:b/>
        </w:rPr>
        <w:t>se han implementado jornadas de estudio con la colaboración de monitores y equipos psicosociales</w:t>
      </w:r>
      <w:r w:rsidRPr="00C46CBC">
        <w:t xml:space="preserve">. Las </w:t>
      </w:r>
      <w:r w:rsidRPr="005800B2">
        <w:rPr>
          <w:b/>
        </w:rPr>
        <w:t>actividades educativas se realizan en la jornada de la mañana</w:t>
      </w:r>
      <w:r w:rsidRPr="00C46CBC">
        <w:t xml:space="preserve">, utilizando las salas de estudio y espacios comunes, y en </w:t>
      </w:r>
      <w:r w:rsidRPr="005800B2">
        <w:rPr>
          <w:b/>
        </w:rPr>
        <w:t>las tardes se han implementado actividades recreativas</w:t>
      </w:r>
      <w:r>
        <w:rPr>
          <w:b/>
        </w:rPr>
        <w:t>, deportivas</w:t>
      </w:r>
      <w:r w:rsidRPr="005800B2">
        <w:rPr>
          <w:b/>
        </w:rPr>
        <w:t xml:space="preserve"> y culturales</w:t>
      </w:r>
      <w:r w:rsidRPr="00C46CBC">
        <w:t>.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 w:rsidRPr="00C46CBC">
        <w:t>Los niños y jóvenes tienen a su disposición computadores y material de estudio enviado por los diferentes establecimientos educacionales a los cuales asisten, y el estudio es reforzado por los educadores y monitores a través de guías, li</w:t>
      </w:r>
      <w:r>
        <w:t xml:space="preserve">bros e internet. Además, se han </w:t>
      </w:r>
      <w:r w:rsidRPr="00C46CBC">
        <w:t xml:space="preserve">incorporado tutorías de duplas psicosociales y profesionales administrativos para explicarles los contenidos.  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  <w:rPr>
          <w:b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  <w:r w:rsidRPr="00705C81">
        <w:rPr>
          <w:b/>
          <w:u w:val="single"/>
        </w:rPr>
        <w:t>Visitas</w:t>
      </w:r>
    </w:p>
    <w:p w:rsidR="005A61EA" w:rsidRPr="00705C81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</w:rPr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>
        <w:t xml:space="preserve">Luego de establecido el aislamiento </w:t>
      </w:r>
      <w:r w:rsidRPr="00057074">
        <w:t xml:space="preserve">en todos los centros de protección de Sename del país, </w:t>
      </w:r>
      <w:r w:rsidRPr="005800B2">
        <w:rPr>
          <w:b/>
        </w:rPr>
        <w:t>se permiten visitas extraordinarias de las personas estrictamente necesarias</w:t>
      </w:r>
      <w:r w:rsidRPr="00057074">
        <w:t>, adoptando</w:t>
      </w:r>
      <w:r w:rsidRPr="00C46CBC">
        <w:t xml:space="preserve"> todas las </w:t>
      </w:r>
      <w:r w:rsidRPr="005800B2">
        <w:rPr>
          <w:b/>
        </w:rPr>
        <w:t>medidas de prevención y control sanitario en el ingreso</w:t>
      </w:r>
      <w:r w:rsidRPr="00C46CBC">
        <w:t xml:space="preserve">, como toma de temperatura y consulta del estado de salud tanto a familiares, funcionarios y otras personas que deben ingresar a las residencias, por ejemplo, miembros del Poder Judicial. 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  <w:r w:rsidRPr="00C46CBC">
        <w:t xml:space="preserve">Además, se ha incorporado la </w:t>
      </w:r>
      <w:r w:rsidRPr="005800B2">
        <w:rPr>
          <w:b/>
        </w:rPr>
        <w:t>modalidad de visitas online</w:t>
      </w:r>
      <w:r w:rsidRPr="00C46CBC">
        <w:t xml:space="preserve">, propiciando el encuentro de los niños y jóvenes con sus familiares a través de </w:t>
      </w:r>
      <w:proofErr w:type="spellStart"/>
      <w:r w:rsidRPr="00C46CBC">
        <w:t>videollamadas</w:t>
      </w:r>
      <w:proofErr w:type="spellEnd"/>
      <w:r w:rsidRPr="00C46CBC">
        <w:t xml:space="preserve"> en caso de ser posible. Estas instancias han sido comprendidas y valoradas por lo</w:t>
      </w:r>
      <w:r>
        <w:t xml:space="preserve">s familiares, niños y jóvenes. </w:t>
      </w:r>
      <w:r w:rsidRPr="0047634B">
        <w:t xml:space="preserve"> </w:t>
      </w:r>
    </w:p>
    <w:p w:rsidR="005A61EA" w:rsidRPr="0047634B" w:rsidRDefault="005A61EA" w:rsidP="005A61EA">
      <w:pPr>
        <w:pStyle w:val="Normal1"/>
        <w:spacing w:line="240" w:lineRule="auto"/>
        <w:contextualSpacing/>
        <w:jc w:val="both"/>
        <w:rPr>
          <w:color w:val="000000" w:themeColor="text1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  <w:r w:rsidRPr="0047634B">
        <w:rPr>
          <w:color w:val="000000" w:themeColor="text1"/>
        </w:rPr>
        <w:t xml:space="preserve">En el área de </w:t>
      </w:r>
      <w:r w:rsidRPr="005800B2">
        <w:rPr>
          <w:b/>
          <w:color w:val="000000" w:themeColor="text1"/>
        </w:rPr>
        <w:t>justicia juvenil</w:t>
      </w:r>
      <w:r w:rsidRPr="0047634B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y con el fin </w:t>
      </w:r>
      <w:r w:rsidRPr="0047634B">
        <w:rPr>
          <w:color w:val="000000" w:themeColor="text1"/>
        </w:rPr>
        <w:t xml:space="preserve">de cumplir con </w:t>
      </w:r>
      <w:r>
        <w:rPr>
          <w:color w:val="000000" w:themeColor="text1"/>
        </w:rPr>
        <w:t xml:space="preserve">los </w:t>
      </w:r>
      <w:r w:rsidRPr="0047634B">
        <w:rPr>
          <w:color w:val="000000" w:themeColor="text1"/>
        </w:rPr>
        <w:t>criterios de seguridad sanitaria</w:t>
      </w:r>
      <w:r>
        <w:rPr>
          <w:color w:val="000000" w:themeColor="text1"/>
        </w:rPr>
        <w:t xml:space="preserve"> durante el </w:t>
      </w:r>
      <w:r w:rsidRPr="0047634B">
        <w:rPr>
          <w:color w:val="000000" w:themeColor="text1"/>
        </w:rPr>
        <w:t xml:space="preserve">presente estado de excepción constitucional, </w:t>
      </w:r>
      <w:r w:rsidRPr="005800B2">
        <w:rPr>
          <w:b/>
          <w:color w:val="000000" w:themeColor="text1"/>
        </w:rPr>
        <w:t>se decretó la suspensión de las visitas presenciales de familiares o referentes significativos</w:t>
      </w:r>
      <w:r w:rsidRPr="0047634B">
        <w:rPr>
          <w:color w:val="000000" w:themeColor="text1"/>
        </w:rPr>
        <w:t>.</w:t>
      </w:r>
      <w:r>
        <w:rPr>
          <w:color w:val="000000" w:themeColor="text1"/>
        </w:rPr>
        <w:t xml:space="preserve"> En paralelo, </w:t>
      </w:r>
      <w:r w:rsidRPr="005800B2">
        <w:rPr>
          <w:b/>
          <w:color w:val="000000" w:themeColor="text1"/>
        </w:rPr>
        <w:t xml:space="preserve">se reforzó </w:t>
      </w:r>
      <w:r w:rsidRPr="005800B2">
        <w:rPr>
          <w:b/>
        </w:rPr>
        <w:t>el acompañamiento psicológico y se potenció la mantención de vínculos a través del uso de tecnologías</w:t>
      </w:r>
      <w:r>
        <w:t>, a través de contactos telefónicos y video llamadas con sus familias.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Recursos</w:t>
      </w:r>
    </w:p>
    <w:p w:rsidR="005A61EA" w:rsidRDefault="005A61EA" w:rsidP="005A61EA">
      <w:pPr>
        <w:pStyle w:val="Normal1"/>
        <w:spacing w:line="240" w:lineRule="auto"/>
        <w:ind w:left="720"/>
        <w:contextualSpacing/>
        <w:jc w:val="both"/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>
        <w:t>E</w:t>
      </w:r>
      <w:r w:rsidRPr="00C46CBC">
        <w:t>n el contexto de esta emergencia sanitaria</w:t>
      </w:r>
      <w:r>
        <w:t>,</w:t>
      </w:r>
      <w:r w:rsidRPr="00C46CBC">
        <w:t xml:space="preserve"> </w:t>
      </w:r>
      <w:r>
        <w:t>en</w:t>
      </w:r>
      <w:r w:rsidRPr="00C46CBC">
        <w:t xml:space="preserve"> materia de inyección de recursos el servicio ha destinado </w:t>
      </w:r>
      <w:r w:rsidRPr="00123FEB">
        <w:rPr>
          <w:b/>
        </w:rPr>
        <w:t>fondos adicionales por más de $1.200 millones de pesos</w:t>
      </w:r>
      <w:r w:rsidRPr="00C46CBC">
        <w:t xml:space="preserve"> para </w:t>
      </w:r>
      <w:r w:rsidRPr="00123FEB">
        <w:rPr>
          <w:b/>
        </w:rPr>
        <w:t>residencias de organismos colaboradores</w:t>
      </w:r>
      <w:r w:rsidRPr="00C46CBC">
        <w:t xml:space="preserve">, </w:t>
      </w:r>
      <w:r w:rsidR="00C12FC0">
        <w:t>los que serán</w:t>
      </w:r>
      <w:r w:rsidRPr="00C46CBC">
        <w:t xml:space="preserve"> utilizados en compras especiales de insumos de bioseguridad (mascarillas, guantes, pecheras, alcohol gel, etc.) y asegurar la dotación de funcionarios que sean necesarios para enfrentar estos meses, incluyendo</w:t>
      </w:r>
      <w:r w:rsidR="00C12FC0">
        <w:t>,</w:t>
      </w:r>
      <w:r w:rsidRPr="00C46CBC">
        <w:t xml:space="preserve"> y en caso sea necesario, el traslado para ellos.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  <w:r w:rsidRPr="00705C81">
        <w:rPr>
          <w:b/>
          <w:bCs/>
          <w:u w:val="single"/>
        </w:rPr>
        <w:t xml:space="preserve">Casos de </w:t>
      </w:r>
      <w:r>
        <w:rPr>
          <w:b/>
          <w:bCs/>
          <w:u w:val="single"/>
        </w:rPr>
        <w:t xml:space="preserve">contagios de </w:t>
      </w:r>
      <w:r w:rsidRPr="00705C81">
        <w:rPr>
          <w:b/>
          <w:bCs/>
          <w:u w:val="single"/>
        </w:rPr>
        <w:t>Coronavirus</w:t>
      </w:r>
    </w:p>
    <w:p w:rsidR="005A61EA" w:rsidRPr="00705C81" w:rsidRDefault="005A61EA" w:rsidP="005A61EA">
      <w:pPr>
        <w:pStyle w:val="Normal1"/>
        <w:spacing w:line="240" w:lineRule="auto"/>
        <w:contextualSpacing/>
        <w:jc w:val="both"/>
        <w:rPr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_tradnl"/>
        </w:rPr>
      </w:pPr>
      <w:r w:rsidRPr="00910209">
        <w:rPr>
          <w:lang w:val="es-ES_tradnl"/>
        </w:rPr>
        <w:t xml:space="preserve">La información </w:t>
      </w:r>
      <w:r>
        <w:rPr>
          <w:lang w:val="es-ES_tradnl"/>
        </w:rPr>
        <w:t xml:space="preserve">que maneja </w:t>
      </w:r>
      <w:r w:rsidR="00C12FC0">
        <w:rPr>
          <w:lang w:val="es-ES_tradnl"/>
        </w:rPr>
        <w:t xml:space="preserve">el </w:t>
      </w:r>
      <w:proofErr w:type="spellStart"/>
      <w:r>
        <w:rPr>
          <w:lang w:val="es-ES_tradnl"/>
        </w:rPr>
        <w:t>Sename</w:t>
      </w:r>
      <w:proofErr w:type="spellEnd"/>
      <w:r>
        <w:rPr>
          <w:lang w:val="es-ES_tradnl"/>
        </w:rPr>
        <w:t xml:space="preserve"> </w:t>
      </w:r>
      <w:r w:rsidRPr="00910209">
        <w:rPr>
          <w:lang w:val="es-ES_tradnl"/>
        </w:rPr>
        <w:t>corresponde al auto rep</w:t>
      </w:r>
      <w:r w:rsidR="00C12FC0">
        <w:rPr>
          <w:lang w:val="es-ES_tradnl"/>
        </w:rPr>
        <w:t>orte realizado a diario por el s</w:t>
      </w:r>
      <w:r w:rsidRPr="00910209">
        <w:rPr>
          <w:lang w:val="es-ES_tradnl"/>
        </w:rPr>
        <w:t>ervicio, lo que nos permite estar alertas a todas las situaciones que requieren mayores apoyos y coordinaciones con terceros</w:t>
      </w:r>
      <w:r>
        <w:rPr>
          <w:lang w:val="es-ES_tradnl"/>
        </w:rPr>
        <w:t>.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_tradnl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_tradnl"/>
        </w:rPr>
      </w:pPr>
      <w:r>
        <w:rPr>
          <w:lang w:val="es-ES_tradnl"/>
        </w:rPr>
        <w:t xml:space="preserve">Si bien la información oficial de contagios debe ser dada a conocer por </w:t>
      </w:r>
      <w:r w:rsidR="00C12FC0">
        <w:rPr>
          <w:lang w:val="es-ES_tradnl"/>
        </w:rPr>
        <w:t xml:space="preserve">el </w:t>
      </w:r>
      <w:proofErr w:type="spellStart"/>
      <w:r>
        <w:rPr>
          <w:lang w:val="es-ES_tradnl"/>
        </w:rPr>
        <w:t>Minsal</w:t>
      </w:r>
      <w:proofErr w:type="spellEnd"/>
      <w:r>
        <w:rPr>
          <w:lang w:val="es-ES_tradnl"/>
        </w:rPr>
        <w:t>, nos encontramos a la espera de una aprobación que hicimos a dicho ministerio para poder informar las cifras oficiales con los debidos resguardos de privacidad en la página web del servicio.</w:t>
      </w:r>
    </w:p>
    <w:p w:rsidR="005A61EA" w:rsidRDefault="005A61EA" w:rsidP="005A61EA">
      <w:pPr>
        <w:pStyle w:val="Normal1"/>
        <w:spacing w:line="240" w:lineRule="auto"/>
        <w:contextualSpacing/>
        <w:jc w:val="both"/>
      </w:pPr>
    </w:p>
    <w:p w:rsidR="005A61EA" w:rsidRDefault="00C12FC0" w:rsidP="005A61EA">
      <w:pPr>
        <w:pStyle w:val="Normal1"/>
        <w:spacing w:line="240" w:lineRule="auto"/>
        <w:contextualSpacing/>
        <w:jc w:val="both"/>
      </w:pPr>
      <w:r>
        <w:t>Sobre los casos de c</w:t>
      </w:r>
      <w:r w:rsidR="005A61EA">
        <w:t>ovid-19: u</w:t>
      </w:r>
      <w:r w:rsidR="005A61EA" w:rsidRPr="006C57A3">
        <w:t xml:space="preserve">na vez detectados como casos sospechosos, se </w:t>
      </w:r>
      <w:r w:rsidR="005A61EA">
        <w:t>aplican</w:t>
      </w:r>
      <w:r w:rsidR="005A61EA" w:rsidRPr="006C57A3">
        <w:t xml:space="preserve"> los protocolos correspondientes de aislamiento</w:t>
      </w:r>
      <w:r w:rsidR="005A61EA">
        <w:t>,</w:t>
      </w:r>
      <w:r w:rsidR="005A61EA" w:rsidRPr="006C57A3">
        <w:t xml:space="preserve"> examinación por la autoridad sanitaria</w:t>
      </w:r>
      <w:r w:rsidR="005A61EA">
        <w:t xml:space="preserve"> y cuarentena</w:t>
      </w:r>
      <w:r w:rsidR="005A61EA" w:rsidRPr="006C57A3">
        <w:t xml:space="preserve">, con la aplicación de las medidas correspondientes de atención y de testeo a los NNA y funcionarios que tuvieron contacto con los casos. 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Reforzamiento de turnos y t</w:t>
      </w:r>
      <w:r w:rsidRPr="00E62CDE">
        <w:rPr>
          <w:b/>
          <w:bCs/>
          <w:u w:val="single"/>
        </w:rPr>
        <w:t>emas logísticos</w:t>
      </w:r>
      <w:r>
        <w:rPr>
          <w:b/>
          <w:bCs/>
          <w:u w:val="single"/>
        </w:rPr>
        <w:t xml:space="preserve"> </w:t>
      </w:r>
    </w:p>
    <w:p w:rsidR="005A61EA" w:rsidRPr="00E62CDE" w:rsidRDefault="005A61EA" w:rsidP="005A61EA">
      <w:pPr>
        <w:pStyle w:val="Normal1"/>
        <w:spacing w:line="240" w:lineRule="auto"/>
        <w:contextualSpacing/>
        <w:jc w:val="both"/>
        <w:rPr>
          <w:b/>
          <w:bCs/>
          <w:u w:val="single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</w:pPr>
      <w:r>
        <w:t>E</w:t>
      </w:r>
      <w:r w:rsidRPr="00C46CBC">
        <w:t>l gran desafío en este momento es mantener la continuidad</w:t>
      </w:r>
      <w:r>
        <w:t xml:space="preserve"> operacional y la </w:t>
      </w:r>
      <w:r w:rsidRPr="00C46CBC">
        <w:t xml:space="preserve">dotación en los centros residenciales de </w:t>
      </w:r>
      <w:r w:rsidR="00C12FC0" w:rsidRPr="00C46CBC">
        <w:t>administración</w:t>
      </w:r>
      <w:r w:rsidRPr="00C46CBC">
        <w:t xml:space="preserve"> directa y colaboradores, puesto que</w:t>
      </w:r>
      <w:r>
        <w:t xml:space="preserve">, </w:t>
      </w:r>
      <w:r w:rsidRPr="00C46CBC">
        <w:t>al atender a niños en forma permanente funcionan 24/7 y los 365 días del año. Todos los esfuerz</w:t>
      </w:r>
      <w:r>
        <w:t xml:space="preserve">os están centrados en mantener </w:t>
      </w:r>
      <w:r w:rsidRPr="00C46CBC">
        <w:t>los turnos necesarios para el funcionamiento de las residencias.</w:t>
      </w: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</w:p>
    <w:p w:rsidR="005A61EA" w:rsidRPr="00C46CBC" w:rsidRDefault="005A61EA" w:rsidP="005A61EA">
      <w:pPr>
        <w:pStyle w:val="Normal1"/>
        <w:spacing w:line="240" w:lineRule="auto"/>
        <w:contextualSpacing/>
        <w:jc w:val="both"/>
      </w:pPr>
      <w:r>
        <w:t xml:space="preserve">Hemos reforzado </w:t>
      </w:r>
      <w:r w:rsidRPr="00C46CBC">
        <w:t xml:space="preserve">las líneas de abastecimiento </w:t>
      </w:r>
      <w:r>
        <w:t xml:space="preserve">de alimentación </w:t>
      </w:r>
      <w:r w:rsidRPr="00C46CBC">
        <w:t xml:space="preserve">para que todas las residencias y centros de justicia juvenil </w:t>
      </w:r>
      <w:r w:rsidR="00C12FC0">
        <w:t>de administración directa</w:t>
      </w:r>
      <w:r w:rsidRPr="00C46CBC">
        <w:t xml:space="preserve"> cuenten con las provisiones necesarias</w:t>
      </w:r>
      <w:r w:rsidR="00C12FC0">
        <w:t>;</w:t>
      </w:r>
      <w:r w:rsidRPr="00C46CBC">
        <w:t xml:space="preserve"> sabemos que en esta mism</w:t>
      </w:r>
      <w:r w:rsidR="00C12FC0">
        <w:t>a línea y con el mismo esfuerzo</w:t>
      </w:r>
      <w:r w:rsidRPr="00C46CBC">
        <w:t xml:space="preserve"> están trabajando los organismos colaboradores.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  <w:r w:rsidRPr="00741EE4">
        <w:rPr>
          <w:b/>
          <w:u w:val="single"/>
          <w:lang w:val="es-ES"/>
        </w:rPr>
        <w:t>Principales asociaciones/donaciones</w:t>
      </w:r>
    </w:p>
    <w:p w:rsidR="005A61EA" w:rsidRPr="00741EE4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 xml:space="preserve">Desde </w:t>
      </w:r>
      <w:r w:rsidR="00C12FC0">
        <w:rPr>
          <w:lang w:val="es-ES"/>
        </w:rPr>
        <w:t>el 15 de marzo del presente año</w:t>
      </w:r>
      <w:r>
        <w:rPr>
          <w:lang w:val="es-ES"/>
        </w:rPr>
        <w:t xml:space="preserve"> se activaron diversas alianzas, convenios y donaciones en benefic</w:t>
      </w:r>
      <w:r w:rsidR="00C12FC0">
        <w:rPr>
          <w:lang w:val="es-ES"/>
        </w:rPr>
        <w:t xml:space="preserve">io directo de los niños, niñas, </w:t>
      </w:r>
      <w:r>
        <w:rPr>
          <w:lang w:val="es-ES"/>
        </w:rPr>
        <w:t>adolescentes y funcionarios</w:t>
      </w:r>
      <w:r w:rsidRPr="00E6641F">
        <w:rPr>
          <w:lang w:val="es-ES"/>
        </w:rPr>
        <w:t xml:space="preserve"> </w:t>
      </w:r>
      <w:r>
        <w:rPr>
          <w:lang w:val="es-ES"/>
        </w:rPr>
        <w:t>de la red Sename. Podemos destacar: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lang w:val="es-ES"/>
        </w:rPr>
      </w:pPr>
    </w:p>
    <w:p w:rsidR="005A61EA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</w:pPr>
      <w:r>
        <w:rPr>
          <w:lang w:val="es-ES"/>
        </w:rPr>
        <w:t xml:space="preserve">La </w:t>
      </w:r>
      <w:r w:rsidRPr="005800B2">
        <w:rPr>
          <w:b/>
        </w:rPr>
        <w:t xml:space="preserve">empresa </w:t>
      </w:r>
      <w:proofErr w:type="spellStart"/>
      <w:r w:rsidRPr="005800B2">
        <w:rPr>
          <w:b/>
        </w:rPr>
        <w:t>Huawei</w:t>
      </w:r>
      <w:proofErr w:type="spellEnd"/>
      <w:r>
        <w:t xml:space="preserve"> generó un</w:t>
      </w:r>
      <w:r w:rsidRPr="00FD3848">
        <w:t xml:space="preserve"> </w:t>
      </w:r>
      <w:r>
        <w:t>convenio</w:t>
      </w:r>
      <w:r w:rsidRPr="00FD3848">
        <w:t xml:space="preserve"> con el Ministerio de Justicia y Derechos Humanos y Sename para </w:t>
      </w:r>
      <w:r w:rsidRPr="005800B2">
        <w:rPr>
          <w:b/>
        </w:rPr>
        <w:t>canalizar una donación de 380 celulares</w:t>
      </w:r>
      <w:r>
        <w:t>,</w:t>
      </w:r>
      <w:r w:rsidRPr="00FD3848">
        <w:t xml:space="preserve"> para que niños y niñas del servicio puedan realizar </w:t>
      </w:r>
      <w:proofErr w:type="spellStart"/>
      <w:r w:rsidRPr="00A233A8">
        <w:rPr>
          <w:b/>
        </w:rPr>
        <w:t>videollamadas</w:t>
      </w:r>
      <w:proofErr w:type="spellEnd"/>
      <w:r w:rsidRPr="00A233A8">
        <w:rPr>
          <w:b/>
        </w:rPr>
        <w:t xml:space="preserve"> </w:t>
      </w:r>
      <w:r>
        <w:t xml:space="preserve">con sus familiares. </w:t>
      </w:r>
      <w:r w:rsidRPr="00521B19">
        <w:t>La iniciativa beneficiará a más de 5.500 niños, niñas y adolescentes en el sistema residencial y a 500 jóvenes en centros de justicia juvenil.</w:t>
      </w:r>
    </w:p>
    <w:p w:rsidR="005A61EA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</w:pPr>
      <w:r>
        <w:t>Donación de WOM de 180 chip para los teléfonos.</w:t>
      </w:r>
    </w:p>
    <w:p w:rsidR="005A61EA" w:rsidRPr="007E3E92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</w:pPr>
      <w:r>
        <w:rPr>
          <w:lang w:val="es-ES"/>
        </w:rPr>
        <w:t xml:space="preserve">Donación de la </w:t>
      </w:r>
      <w:r w:rsidRPr="0093764F">
        <w:rPr>
          <w:b/>
          <w:lang w:val="es-ES"/>
        </w:rPr>
        <w:t>Confederación de Producción y Comercio</w:t>
      </w:r>
      <w:r>
        <w:rPr>
          <w:lang w:val="es-ES"/>
        </w:rPr>
        <w:t xml:space="preserve"> y su </w:t>
      </w:r>
      <w:r w:rsidRPr="0093764F">
        <w:rPr>
          <w:lang w:val="es-ES"/>
        </w:rPr>
        <w:t>Fondo Priv</w:t>
      </w:r>
      <w:r>
        <w:rPr>
          <w:lang w:val="es-ES"/>
        </w:rPr>
        <w:t xml:space="preserve">ado de Emergencia para la Salud, con </w:t>
      </w:r>
      <w:r w:rsidRPr="0093764F">
        <w:rPr>
          <w:lang w:val="es-ES"/>
        </w:rPr>
        <w:t xml:space="preserve">insumos sanitarios de protección para niñas, niños y adolescentes en residencias de </w:t>
      </w:r>
      <w:r w:rsidR="00C12FC0">
        <w:rPr>
          <w:lang w:val="es-ES"/>
        </w:rPr>
        <w:t xml:space="preserve">la </w:t>
      </w:r>
      <w:r w:rsidRPr="0093764F">
        <w:rPr>
          <w:lang w:val="es-ES"/>
        </w:rPr>
        <w:t xml:space="preserve">red </w:t>
      </w:r>
      <w:proofErr w:type="spellStart"/>
      <w:r w:rsidRPr="0093764F">
        <w:rPr>
          <w:lang w:val="es-ES"/>
        </w:rPr>
        <w:t>Sename</w:t>
      </w:r>
      <w:proofErr w:type="spellEnd"/>
      <w:r w:rsidRPr="0093764F">
        <w:rPr>
          <w:lang w:val="es-ES"/>
        </w:rPr>
        <w:t>.</w:t>
      </w:r>
      <w:r>
        <w:rPr>
          <w:lang w:val="es-ES"/>
        </w:rPr>
        <w:t xml:space="preserve"> En este fondo destacó el aporte de UNICEF con </w:t>
      </w:r>
      <w:r w:rsidRPr="007E3E92">
        <w:t xml:space="preserve">96 mil mascarillas, 9 mil pares de guantes de látex, 730 litros de alcohol gel y mil escudos faciales para proteger a los niños y niñas. </w:t>
      </w:r>
    </w:p>
    <w:p w:rsidR="005A61EA" w:rsidRPr="004C3DEE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 xml:space="preserve">Donación de </w:t>
      </w:r>
      <w:proofErr w:type="spellStart"/>
      <w:r w:rsidRPr="007505B3">
        <w:rPr>
          <w:b/>
          <w:lang w:val="es-ES"/>
        </w:rPr>
        <w:t>Injuv</w:t>
      </w:r>
      <w:proofErr w:type="spellEnd"/>
      <w:r>
        <w:rPr>
          <w:lang w:val="es-ES"/>
        </w:rPr>
        <w:t xml:space="preserve"> con </w:t>
      </w:r>
      <w:r w:rsidRPr="004C3DEE">
        <w:rPr>
          <w:lang w:val="es-ES"/>
        </w:rPr>
        <w:t>juegos de mesa</w:t>
      </w:r>
      <w:r>
        <w:rPr>
          <w:lang w:val="es-ES"/>
        </w:rPr>
        <w:t xml:space="preserve"> para </w:t>
      </w:r>
      <w:r w:rsidRPr="004C3DEE">
        <w:rPr>
          <w:lang w:val="es-ES"/>
        </w:rPr>
        <w:t>residencia</w:t>
      </w:r>
      <w:r>
        <w:rPr>
          <w:lang w:val="es-ES"/>
        </w:rPr>
        <w:t>s</w:t>
      </w:r>
      <w:r w:rsidRPr="004C3DEE">
        <w:rPr>
          <w:lang w:val="es-ES"/>
        </w:rPr>
        <w:t xml:space="preserve"> de la red</w:t>
      </w:r>
      <w:r>
        <w:rPr>
          <w:lang w:val="es-ES"/>
        </w:rPr>
        <w:t>.</w:t>
      </w:r>
      <w:r w:rsidRPr="004C3DEE">
        <w:rPr>
          <w:lang w:val="es-ES"/>
        </w:rPr>
        <w:t xml:space="preserve"> </w:t>
      </w:r>
    </w:p>
    <w:p w:rsidR="005A61EA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lastRenderedPageBreak/>
        <w:t xml:space="preserve">Convenio con el </w:t>
      </w:r>
      <w:r w:rsidRPr="007505B3">
        <w:rPr>
          <w:b/>
          <w:lang w:val="es-ES"/>
        </w:rPr>
        <w:t>Ejército de Chile</w:t>
      </w:r>
      <w:r>
        <w:rPr>
          <w:lang w:val="es-ES"/>
        </w:rPr>
        <w:t xml:space="preserve"> para </w:t>
      </w:r>
      <w:proofErr w:type="spellStart"/>
      <w:r w:rsidRPr="007505B3">
        <w:rPr>
          <w:lang w:val="es-ES"/>
        </w:rPr>
        <w:t>sanitización</w:t>
      </w:r>
      <w:proofErr w:type="spellEnd"/>
      <w:r w:rsidRPr="007505B3">
        <w:rPr>
          <w:lang w:val="es-ES"/>
        </w:rPr>
        <w:t xml:space="preserve"> </w:t>
      </w:r>
      <w:r>
        <w:rPr>
          <w:lang w:val="es-ES"/>
        </w:rPr>
        <w:t xml:space="preserve">de centros y residencias de la red. </w:t>
      </w:r>
      <w:r w:rsidRPr="007505B3">
        <w:rPr>
          <w:lang w:val="es-ES"/>
        </w:rPr>
        <w:t xml:space="preserve"> </w:t>
      </w:r>
    </w:p>
    <w:p w:rsidR="005A61EA" w:rsidRPr="00C12FC0" w:rsidRDefault="005A61EA" w:rsidP="00C12FC0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 xml:space="preserve">Donación de </w:t>
      </w:r>
      <w:r w:rsidRPr="0093764F">
        <w:rPr>
          <w:b/>
          <w:lang w:val="es-ES"/>
        </w:rPr>
        <w:t>Universidad de La Serena</w:t>
      </w:r>
      <w:r>
        <w:rPr>
          <w:lang w:val="es-ES"/>
        </w:rPr>
        <w:t xml:space="preserve"> de casi un centenar de escudos faciales.</w:t>
      </w:r>
    </w:p>
    <w:p w:rsidR="005A61EA" w:rsidRPr="0093764F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>Donación de 20 mil</w:t>
      </w:r>
      <w:r w:rsidRPr="006302C1">
        <w:rPr>
          <w:lang w:val="es-ES"/>
        </w:rPr>
        <w:t xml:space="preserve"> mascarillas de</w:t>
      </w:r>
      <w:r>
        <w:rPr>
          <w:lang w:val="es-ES"/>
        </w:rPr>
        <w:t xml:space="preserve"> tela reutilizables de </w:t>
      </w:r>
      <w:r w:rsidRPr="00E15981">
        <w:rPr>
          <w:b/>
          <w:lang w:val="es-ES"/>
        </w:rPr>
        <w:t>Fundación Santa Ana</w:t>
      </w:r>
      <w:r w:rsidRPr="006302C1">
        <w:rPr>
          <w:lang w:val="es-ES"/>
        </w:rPr>
        <w:t xml:space="preserve"> </w:t>
      </w:r>
      <w:r>
        <w:rPr>
          <w:lang w:val="es-ES"/>
        </w:rPr>
        <w:t xml:space="preserve">y </w:t>
      </w:r>
      <w:r w:rsidRPr="00E15981">
        <w:rPr>
          <w:b/>
          <w:lang w:val="es-ES"/>
        </w:rPr>
        <w:t xml:space="preserve">Banco </w:t>
      </w:r>
      <w:proofErr w:type="spellStart"/>
      <w:r w:rsidRPr="00E15981">
        <w:rPr>
          <w:b/>
          <w:lang w:val="es-ES"/>
        </w:rPr>
        <w:t>Itaú</w:t>
      </w:r>
      <w:proofErr w:type="spellEnd"/>
      <w:r>
        <w:rPr>
          <w:lang w:val="es-ES"/>
        </w:rPr>
        <w:t>.</w:t>
      </w:r>
    </w:p>
    <w:p w:rsidR="005A61EA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>D</w:t>
      </w:r>
      <w:r w:rsidRPr="007D134F">
        <w:rPr>
          <w:lang w:val="es-ES"/>
        </w:rPr>
        <w:t xml:space="preserve">onación de alimentos de </w:t>
      </w:r>
      <w:proofErr w:type="spellStart"/>
      <w:r w:rsidRPr="007D134F">
        <w:rPr>
          <w:b/>
          <w:lang w:val="es-ES"/>
        </w:rPr>
        <w:t>Walmart</w:t>
      </w:r>
      <w:proofErr w:type="spellEnd"/>
      <w:r w:rsidRPr="007D134F">
        <w:rPr>
          <w:b/>
          <w:lang w:val="es-ES"/>
        </w:rPr>
        <w:t xml:space="preserve"> Chile</w:t>
      </w:r>
      <w:r>
        <w:rPr>
          <w:lang w:val="es-ES"/>
        </w:rPr>
        <w:t xml:space="preserve"> a Ministerio de Desarrollo Social, canalizados </w:t>
      </w:r>
      <w:r w:rsidRPr="007D134F">
        <w:rPr>
          <w:lang w:val="es-ES"/>
        </w:rPr>
        <w:t>a 720 familias con niños que pertenecen a la red Sename.</w:t>
      </w:r>
    </w:p>
    <w:p w:rsidR="005A61EA" w:rsidRPr="00E245B7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 xml:space="preserve">Convenio con </w:t>
      </w:r>
      <w:r w:rsidRPr="00F412B7">
        <w:rPr>
          <w:b/>
          <w:lang w:val="es-ES"/>
        </w:rPr>
        <w:t>Consejo Nacional de Televisión</w:t>
      </w:r>
      <w:r>
        <w:rPr>
          <w:lang w:val="es-ES"/>
        </w:rPr>
        <w:t xml:space="preserve"> para </w:t>
      </w:r>
      <w:r w:rsidRPr="00F412B7">
        <w:rPr>
          <w:lang w:val="es-ES"/>
        </w:rPr>
        <w:t xml:space="preserve">liberar su programación infantil para niños y niñas en red Sename, </w:t>
      </w:r>
      <w:r>
        <w:rPr>
          <w:lang w:val="es-ES"/>
        </w:rPr>
        <w:t>en el reforzamiento de</w:t>
      </w:r>
      <w:r w:rsidRPr="00F412B7">
        <w:rPr>
          <w:lang w:val="es-ES"/>
        </w:rPr>
        <w:t xml:space="preserve"> rutinas educativas y de entretención</w:t>
      </w:r>
      <w:r>
        <w:rPr>
          <w:lang w:val="es-ES"/>
        </w:rPr>
        <w:t>.</w:t>
      </w:r>
    </w:p>
    <w:p w:rsidR="005A61EA" w:rsidRPr="005913BA" w:rsidRDefault="005A61EA" w:rsidP="005A61EA">
      <w:pPr>
        <w:pStyle w:val="Normal1"/>
        <w:numPr>
          <w:ilvl w:val="0"/>
          <w:numId w:val="7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 xml:space="preserve">Asociación a proyecto virtual </w:t>
      </w:r>
      <w:r w:rsidRPr="0038772F">
        <w:rPr>
          <w:lang w:val="es-ES"/>
        </w:rPr>
        <w:t>“Mi Casa,</w:t>
      </w:r>
      <w:r>
        <w:rPr>
          <w:lang w:val="es-ES"/>
        </w:rPr>
        <w:t xml:space="preserve"> </w:t>
      </w:r>
      <w:r w:rsidRPr="0038772F">
        <w:rPr>
          <w:lang w:val="es-ES"/>
        </w:rPr>
        <w:t>Mi Cancha</w:t>
      </w:r>
      <w:r>
        <w:rPr>
          <w:lang w:val="es-ES"/>
        </w:rPr>
        <w:t xml:space="preserve">” de </w:t>
      </w:r>
      <w:r w:rsidRPr="0038772F">
        <w:rPr>
          <w:b/>
          <w:lang w:val="es-ES"/>
        </w:rPr>
        <w:t>UNICEF</w:t>
      </w:r>
      <w:r w:rsidRPr="0038772F">
        <w:rPr>
          <w:lang w:val="es-ES"/>
        </w:rPr>
        <w:t xml:space="preserve"> y </w:t>
      </w:r>
      <w:r w:rsidRPr="0038772F">
        <w:rPr>
          <w:b/>
          <w:lang w:val="es-ES"/>
        </w:rPr>
        <w:t>Fundación Fútbol Más</w:t>
      </w:r>
      <w:r>
        <w:rPr>
          <w:lang w:val="es-ES"/>
        </w:rPr>
        <w:t xml:space="preserve"> para </w:t>
      </w:r>
      <w:r w:rsidRPr="0038772F">
        <w:rPr>
          <w:lang w:val="es-ES"/>
        </w:rPr>
        <w:t xml:space="preserve">facilitar estrategias de autocuidado </w:t>
      </w:r>
      <w:r>
        <w:rPr>
          <w:lang w:val="es-ES"/>
        </w:rPr>
        <w:t xml:space="preserve">y promover </w:t>
      </w:r>
      <w:r w:rsidRPr="0038772F">
        <w:rPr>
          <w:lang w:val="es-ES"/>
        </w:rPr>
        <w:t>la actividad física para niños, niñas y adolescentes</w:t>
      </w:r>
      <w:r>
        <w:rPr>
          <w:lang w:val="es-ES"/>
        </w:rPr>
        <w:t>.</w:t>
      </w: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</w:p>
    <w:p w:rsidR="005A61EA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  <w:r w:rsidRPr="00776AB3">
        <w:rPr>
          <w:b/>
          <w:u w:val="single"/>
          <w:lang w:val="es-ES"/>
        </w:rPr>
        <w:t>Cifras generales</w:t>
      </w:r>
    </w:p>
    <w:p w:rsidR="005A61EA" w:rsidRPr="004B3F64" w:rsidRDefault="005A61EA" w:rsidP="005A61EA">
      <w:pPr>
        <w:pStyle w:val="Normal1"/>
        <w:spacing w:line="240" w:lineRule="auto"/>
        <w:contextualSpacing/>
        <w:jc w:val="both"/>
        <w:rPr>
          <w:b/>
          <w:u w:val="single"/>
          <w:lang w:val="es-ES"/>
        </w:rPr>
      </w:pPr>
    </w:p>
    <w:p w:rsidR="005A61EA" w:rsidRPr="004B3F64" w:rsidRDefault="005A61EA" w:rsidP="005A61EA">
      <w:pPr>
        <w:pStyle w:val="Normal1"/>
        <w:numPr>
          <w:ilvl w:val="0"/>
          <w:numId w:val="5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>5.500 aprox. niños, niñas y adolescentes en área de protección que viven en residencias de administración directa y de organismos colaboradores.</w:t>
      </w:r>
    </w:p>
    <w:p w:rsidR="005A61EA" w:rsidRPr="004B3F64" w:rsidRDefault="005A61EA" w:rsidP="005A61EA">
      <w:pPr>
        <w:pStyle w:val="Normal1"/>
        <w:numPr>
          <w:ilvl w:val="0"/>
          <w:numId w:val="5"/>
        </w:numPr>
        <w:spacing w:line="240" w:lineRule="auto"/>
        <w:contextualSpacing/>
        <w:jc w:val="both"/>
        <w:rPr>
          <w:lang w:val="es-ES"/>
        </w:rPr>
      </w:pPr>
      <w:r w:rsidRPr="007C42EA">
        <w:rPr>
          <w:lang w:val="es-ES"/>
        </w:rPr>
        <w:t>500 adolescentes aprox. en área de justicia juvenil que cumplen medidas cautelares y sanciones en centros cerrados.</w:t>
      </w:r>
    </w:p>
    <w:p w:rsidR="005A61EA" w:rsidRPr="004B3F64" w:rsidRDefault="005A61EA" w:rsidP="005A61EA">
      <w:pPr>
        <w:pStyle w:val="Normal1"/>
        <w:numPr>
          <w:ilvl w:val="0"/>
          <w:numId w:val="5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>Sobre 200 residencias del área de protección, entre administradas por Sename y por organismos colaboradores.</w:t>
      </w:r>
    </w:p>
    <w:p w:rsidR="005A61EA" w:rsidRPr="0038772F" w:rsidRDefault="005A61EA" w:rsidP="005A61EA">
      <w:pPr>
        <w:pStyle w:val="Normal1"/>
        <w:numPr>
          <w:ilvl w:val="0"/>
          <w:numId w:val="5"/>
        </w:numPr>
        <w:spacing w:line="240" w:lineRule="auto"/>
        <w:contextualSpacing/>
        <w:jc w:val="both"/>
        <w:rPr>
          <w:lang w:val="es-ES"/>
        </w:rPr>
      </w:pPr>
      <w:r>
        <w:rPr>
          <w:lang w:val="es-ES"/>
        </w:rPr>
        <w:t>Centros de justicia juvenil en todas las regiones del país (con excepción de Ñuble).</w:t>
      </w: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5D88" w:rsidRPr="00D05D88" w:rsidRDefault="00D05D88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5D88">
        <w:rPr>
          <w:rFonts w:ascii="Arial" w:hAnsi="Arial" w:cs="Arial"/>
          <w:b/>
          <w:sz w:val="24"/>
          <w:szCs w:val="24"/>
          <w:u w:val="single"/>
        </w:rPr>
        <w:t>ANEXO 2</w:t>
      </w:r>
    </w:p>
    <w:p w:rsidR="00D05D88" w:rsidRDefault="00D05D88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368B" w:rsidRDefault="007D368B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5D88" w:rsidRDefault="00D05D88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05D88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1028700" cy="752475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00" cy="7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D88" w:rsidRDefault="00D05D88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05D88" w:rsidRDefault="005A61EA" w:rsidP="00D05D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</w:rPr>
        <w:t xml:space="preserve"> </w:t>
      </w:r>
      <w:r w:rsidR="00D05D88"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>MINUTA TÉCNICA NNAJ POBLACIÓN DE ALTO RIESGO EN SALUD</w:t>
      </w:r>
      <w:r w:rsidR="00D05D88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lastRenderedPageBreak/>
        <w:t>Y/O CON NECESIDADES ESPECIALES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 w:themeColor="text1"/>
        </w:rPr>
      </w:pP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/>
          <w:b/>
          <w:color w:val="000000" w:themeColor="text1"/>
          <w:sz w:val="22"/>
          <w:szCs w:val="22"/>
        </w:rPr>
        <w:t xml:space="preserve">1.- </w:t>
      </w:r>
      <w:r w:rsidRPr="00EB21DE">
        <w:rPr>
          <w:rFonts w:ascii="Verdana" w:hAnsi="Verdana"/>
          <w:b/>
          <w:color w:val="000000" w:themeColor="text1"/>
          <w:sz w:val="22"/>
          <w:szCs w:val="22"/>
          <w:bdr w:val="none" w:sz="0" w:space="0" w:color="auto" w:frame="1"/>
        </w:rPr>
        <w:t> </w:t>
      </w:r>
      <w:r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>Residencias de Discapacidad Grave: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Perfil de NNAJ con antecedentes de enfermedades crónicas a la base de la discapacidad intelectual y cuadros orgánicos. Muchos de ellos en situación de postrados, con escasas habilidades de comunicación y sin lenguaje, esto dificulta enormemente la toma de síntomas, ya que no pueden referir o reconocer los síntomas como tales.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720" w:hanging="360"/>
        <w:jc w:val="both"/>
        <w:rPr>
          <w:rFonts w:ascii="Verdana" w:hAnsi="Verdana"/>
          <w:color w:val="000000" w:themeColor="text1"/>
        </w:rPr>
      </w:pPr>
    </w:p>
    <w:p w:rsidR="00D05D88" w:rsidRPr="008F4E64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22"/>
        </w:rPr>
      </w:pPr>
      <w:r w:rsidRPr="008F4E64">
        <w:rPr>
          <w:rFonts w:ascii="Verdana" w:hAnsi="Verdana" w:cs="Calibri"/>
          <w:color w:val="1F497D"/>
          <w:sz w:val="21"/>
          <w:szCs w:val="22"/>
          <w:bdr w:val="none" w:sz="0" w:space="0" w:color="auto" w:frame="1"/>
        </w:rPr>
        <w:t> </w:t>
      </w:r>
      <w:r w:rsidR="00C12FC0">
        <w:rPr>
          <w:rFonts w:ascii="Verdana" w:hAnsi="Verdana"/>
          <w:sz w:val="22"/>
        </w:rPr>
        <w:t>A continuación, se detalla</w:t>
      </w:r>
      <w:r w:rsidRPr="008F4E64">
        <w:rPr>
          <w:rFonts w:ascii="Verdana" w:hAnsi="Verdana"/>
          <w:sz w:val="22"/>
        </w:rPr>
        <w:t xml:space="preserve"> el número de NNA vigentes y presentes por tipo de residencia según grado de discapacidad:</w:t>
      </w:r>
    </w:p>
    <w:p w:rsidR="00D05D88" w:rsidRPr="008F4E64" w:rsidRDefault="00D05D88" w:rsidP="00D05D88">
      <w:pPr>
        <w:rPr>
          <w:rFonts w:ascii="Verdana" w:hAnsi="Verdana"/>
          <w:b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230"/>
        <w:gridCol w:w="1191"/>
        <w:gridCol w:w="1197"/>
      </w:tblGrid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Residencia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Vigentes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Presentes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18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24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12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XIII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88" w:rsidRPr="008F4E64" w:rsidRDefault="00D05D88" w:rsidP="00D245F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88" w:rsidRPr="008F4E64" w:rsidRDefault="00D05D88" w:rsidP="00D245F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61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88" w:rsidRPr="008F4E64" w:rsidRDefault="00D05D88" w:rsidP="00D245F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D05D88" w:rsidRPr="008F4E64" w:rsidTr="00D245F3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D88" w:rsidRPr="008F4E64" w:rsidRDefault="00D05D88" w:rsidP="00D245F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F4E6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CL"/>
              </w:rPr>
              <w:t>189</w:t>
            </w:r>
          </w:p>
        </w:tc>
      </w:tr>
    </w:tbl>
    <w:p w:rsidR="00D05D88" w:rsidRDefault="00D05D88" w:rsidP="00D05D88">
      <w:pPr>
        <w:jc w:val="center"/>
        <w:rPr>
          <w:rFonts w:ascii="Verdana" w:hAnsi="Verdana"/>
          <w:i/>
          <w:sz w:val="16"/>
          <w:szCs w:val="16"/>
        </w:rPr>
      </w:pPr>
      <w:r w:rsidRPr="008F4E64">
        <w:rPr>
          <w:rFonts w:ascii="Verdana" w:hAnsi="Verdana"/>
          <w:i/>
          <w:sz w:val="16"/>
          <w:szCs w:val="16"/>
        </w:rPr>
        <w:t>Fuente (Boletín diario de fecha 12 y 15 de junio)</w:t>
      </w:r>
    </w:p>
    <w:p w:rsidR="00D05D88" w:rsidRPr="00FD6E9D" w:rsidRDefault="00D05D88" w:rsidP="00D05D88">
      <w:pPr>
        <w:jc w:val="center"/>
        <w:rPr>
          <w:rFonts w:ascii="Verdana" w:hAnsi="Verdana"/>
          <w:i/>
          <w:sz w:val="16"/>
          <w:szCs w:val="16"/>
        </w:rPr>
      </w:pPr>
    </w:p>
    <w:p w:rsidR="00D05D88" w:rsidRPr="00FD6E9D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</w:pPr>
      <w:r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 xml:space="preserve"> 2-</w:t>
      </w:r>
      <w:r w:rsidRPr="00EB21DE">
        <w:rPr>
          <w:rFonts w:ascii="Verdana" w:hAnsi="Verdana"/>
          <w:b/>
          <w:color w:val="000000" w:themeColor="text1"/>
          <w:sz w:val="14"/>
          <w:szCs w:val="14"/>
          <w:bdr w:val="none" w:sz="0" w:space="0" w:color="auto" w:frame="1"/>
        </w:rPr>
        <w:t>      </w:t>
      </w:r>
      <w:r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>NNAJ que presentan enfermedades crónicas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de complejidad que no se encuentran en residencias de discapacidad: NNA que presentan enfermedades de morbilidad sin discapacidad.</w:t>
      </w:r>
      <w:r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56C3D">
        <w:rPr>
          <w:rFonts w:ascii="Verdana" w:hAnsi="Verdana"/>
        </w:rPr>
        <w:t>A continuación se detalla</w:t>
      </w:r>
      <w:r w:rsidRPr="00EB21DE">
        <w:rPr>
          <w:rFonts w:ascii="Verdana" w:hAnsi="Verdana"/>
        </w:rPr>
        <w:t xml:space="preserve"> </w:t>
      </w:r>
      <w:r w:rsidRPr="00EB21DE">
        <w:rPr>
          <w:rFonts w:ascii="Verdana" w:hAnsi="Verdana" w:cs="Calibri"/>
          <w:bCs/>
          <w:color w:val="000000"/>
        </w:rPr>
        <w:t xml:space="preserve">resumen de NNA identificados como grupo de riesgo </w:t>
      </w:r>
      <w:r>
        <w:rPr>
          <w:rFonts w:ascii="Verdana" w:hAnsi="Verdana" w:cs="Calibri"/>
          <w:bCs/>
          <w:color w:val="000000"/>
        </w:rPr>
        <w:t>C</w:t>
      </w:r>
      <w:r w:rsidRPr="00EB21DE">
        <w:rPr>
          <w:rFonts w:ascii="Verdana" w:hAnsi="Verdana" w:cs="Calibri"/>
          <w:bCs/>
          <w:color w:val="000000"/>
        </w:rPr>
        <w:t>ovid-19 en CREAD y RF.</w:t>
      </w: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611"/>
      </w:tblGrid>
      <w:tr w:rsidR="00D05D88" w:rsidRPr="00047C42" w:rsidTr="00D245F3">
        <w:trPr>
          <w:trHeight w:val="49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NNA grupo Riesgo Covid-19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53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Residencia Familiar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17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70</w:t>
            </w:r>
          </w:p>
        </w:tc>
      </w:tr>
    </w:tbl>
    <w:p w:rsidR="00D05D88" w:rsidRPr="00103BDB" w:rsidRDefault="00D05D88" w:rsidP="00D05D88">
      <w:pPr>
        <w:jc w:val="center"/>
        <w:rPr>
          <w:rFonts w:ascii="Verdana" w:hAnsi="Verdana"/>
          <w:i/>
          <w:sz w:val="16"/>
          <w:szCs w:val="16"/>
        </w:rPr>
      </w:pPr>
      <w:r w:rsidRPr="00103BDB">
        <w:rPr>
          <w:rFonts w:ascii="Verdana" w:hAnsi="Verdana"/>
          <w:i/>
          <w:sz w:val="16"/>
          <w:szCs w:val="16"/>
        </w:rPr>
        <w:t>Fuente: Unidad de Salud (planilla de casos riesgo Covid-19)</w:t>
      </w:r>
    </w:p>
    <w:p w:rsidR="00D05D88" w:rsidRPr="00EB21DE" w:rsidRDefault="00D05D88" w:rsidP="00D05D88">
      <w:pPr>
        <w:rPr>
          <w:rFonts w:ascii="Verdana" w:hAnsi="Verdana"/>
        </w:rPr>
        <w:sectPr w:rsidR="00D05D88" w:rsidRPr="00EB21DE" w:rsidSect="00D245F3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05D88" w:rsidRDefault="00D05D88" w:rsidP="00D05D88"/>
    <w:tbl>
      <w:tblPr>
        <w:tblW w:w="136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75"/>
        <w:gridCol w:w="2110"/>
        <w:gridCol w:w="1985"/>
        <w:gridCol w:w="1134"/>
        <w:gridCol w:w="1275"/>
        <w:gridCol w:w="1701"/>
      </w:tblGrid>
      <w:tr w:rsidR="00D05D88" w:rsidRPr="00047C42" w:rsidTr="00D245F3">
        <w:trPr>
          <w:trHeight w:val="14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CENTRO/RESIDENCIA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C12FC0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Enfermedad crónica (diabetes, h</w:t>
            </w:r>
            <w:r w:rsidR="00D05D88"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ipertensión)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C12FC0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Dependencia s</w:t>
            </w:r>
            <w:r w:rsidR="00D05D88"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evera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Enferm</w:t>
            </w:r>
            <w:r w:rsidR="00C12FC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edades inmunodeprimidas (VIH, le</w:t>
            </w: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ucemia, cá</w:t>
            </w:r>
            <w:r w:rsidR="00C12FC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ncer, insuficiencia renal, </w:t>
            </w:r>
            <w:proofErr w:type="spellStart"/>
            <w:r w:rsidR="00C12FC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Sd</w:t>
            </w:r>
            <w:proofErr w:type="spellEnd"/>
            <w:r w:rsidR="00C12FC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. n</w:t>
            </w:r>
            <w:r w:rsidR="00D023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efrótico, l</w:t>
            </w: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upus eritematoso 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D023B3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Enfermedad respiratoria (as</w:t>
            </w:r>
            <w:r w:rsidR="00D05D88"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ma bronquial, SBOR, fibrosis quística, apnea de sueño)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Dependiente de oxigeno (SI/NO)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Estudio trasplante/ trasplantado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5D88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Otros diagnósticos determin</w:t>
            </w:r>
            <w:r w:rsidR="00B50F2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ados como Grupos de Riesgo por c</w:t>
            </w: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entro</w:t>
            </w:r>
          </w:p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(1)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Alborada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Arrullo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Belén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Capullo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Casa Nacional del Niño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Entre Silos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Galvarino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CREAD Pudahuel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 Bilbao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RF Carlos Antúnez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RF Luis </w:t>
            </w:r>
            <w:proofErr w:type="spellStart"/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Beretta</w:t>
            </w:r>
            <w:proofErr w:type="spellEnd"/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- Arica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 San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RFA Cerro Alegre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RFA Coyhaique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RFA Quillota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RFA Villa Alemana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05D88" w:rsidRPr="00047C42" w:rsidTr="00D245F3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Total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D05D88" w:rsidRPr="00047C42" w:rsidRDefault="00D05D88" w:rsidP="00D245F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047C4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16</w:t>
            </w:r>
          </w:p>
        </w:tc>
      </w:tr>
    </w:tbl>
    <w:p w:rsidR="00D05D88" w:rsidRPr="00EC6FD7" w:rsidRDefault="00D05D88" w:rsidP="00D05D88">
      <w:pPr>
        <w:jc w:val="center"/>
        <w:rPr>
          <w:sz w:val="16"/>
          <w:szCs w:val="16"/>
        </w:rPr>
      </w:pPr>
      <w:r w:rsidRPr="00EC6FD7">
        <w:rPr>
          <w:sz w:val="16"/>
          <w:szCs w:val="16"/>
        </w:rPr>
        <w:t>Fuente: Unidad de Salud (planilla de casos riesgo Covid-19)</w:t>
      </w:r>
    </w:p>
    <w:p w:rsidR="00D05D88" w:rsidRPr="00A01CEE" w:rsidRDefault="00D05D88" w:rsidP="00D05D88">
      <w:pPr>
        <w:pStyle w:val="Sinespaciado"/>
        <w:spacing w:line="276" w:lineRule="auto"/>
        <w:rPr>
          <w:rFonts w:ascii="Verdana" w:hAnsi="Verdana"/>
          <w:b/>
          <w:sz w:val="18"/>
          <w:szCs w:val="18"/>
        </w:rPr>
      </w:pPr>
      <w:r w:rsidRPr="00A01CEE">
        <w:rPr>
          <w:rFonts w:ascii="Verdana" w:hAnsi="Verdana"/>
          <w:b/>
          <w:sz w:val="18"/>
          <w:szCs w:val="18"/>
        </w:rPr>
        <w:t>Nota:</w:t>
      </w:r>
    </w:p>
    <w:p w:rsidR="00D05D88" w:rsidRPr="00A01CEE" w:rsidRDefault="00D05D88" w:rsidP="00D05D88">
      <w:pPr>
        <w:pStyle w:val="Sinespaciado"/>
        <w:spacing w:line="276" w:lineRule="auto"/>
        <w:rPr>
          <w:rFonts w:ascii="Verdana" w:hAnsi="Verdana"/>
          <w:sz w:val="18"/>
          <w:szCs w:val="18"/>
        </w:rPr>
      </w:pPr>
      <w:r w:rsidRPr="00A01CEE">
        <w:rPr>
          <w:rFonts w:ascii="Verdana" w:hAnsi="Verdana"/>
          <w:sz w:val="18"/>
          <w:szCs w:val="18"/>
        </w:rPr>
        <w:t>(1): Otros diagnósticos determinados como Grupos de Riesgo por Centro, se refiere a aquellos NNAJ con el siguiente diagnóstico: Obesidad, hepatitis, hipotiroidismo, Lactante menor prematuro, desnutrición, fisura palatina operada</w:t>
      </w:r>
      <w:r>
        <w:rPr>
          <w:rFonts w:ascii="Verdana" w:hAnsi="Verdana"/>
          <w:sz w:val="18"/>
          <w:szCs w:val="18"/>
        </w:rPr>
        <w:t>.</w:t>
      </w:r>
      <w:r w:rsidRPr="00A01CEE">
        <w:rPr>
          <w:rFonts w:ascii="Verdana" w:hAnsi="Verdana"/>
          <w:sz w:val="18"/>
          <w:szCs w:val="18"/>
        </w:rPr>
        <w:t xml:space="preserve"> </w:t>
      </w:r>
    </w:p>
    <w:p w:rsidR="00D05D88" w:rsidRDefault="00D05D88" w:rsidP="00D05D88">
      <w:pPr>
        <w:tabs>
          <w:tab w:val="left" w:pos="3105"/>
        </w:tabs>
      </w:pPr>
    </w:p>
    <w:p w:rsidR="00D05D88" w:rsidRPr="00EB21DE" w:rsidRDefault="00D05D88" w:rsidP="00D05D88">
      <w:pPr>
        <w:rPr>
          <w:rFonts w:ascii="Verdana" w:hAnsi="Verdana"/>
        </w:rPr>
        <w:sectPr w:rsidR="00D05D88" w:rsidRPr="00EB21DE" w:rsidSect="00D245F3">
          <w:pgSz w:w="15840" w:h="12240" w:orient="landscape"/>
          <w:pgMar w:top="1418" w:right="1418" w:bottom="147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05D88" w:rsidRPr="00D32D8B" w:rsidRDefault="00D05D88" w:rsidP="00D05D88">
      <w:pPr>
        <w:rPr>
          <w:rFonts w:ascii="Verdana" w:hAnsi="Verdana"/>
          <w:b/>
        </w:rPr>
      </w:pPr>
      <w:r w:rsidRPr="00D32D8B">
        <w:rPr>
          <w:rFonts w:ascii="Verdana" w:hAnsi="Verdana" w:cs="Calibri"/>
          <w:b/>
          <w:color w:val="000000" w:themeColor="text1"/>
          <w:bdr w:val="none" w:sz="0" w:space="0" w:color="auto" w:frame="1"/>
        </w:rPr>
        <w:lastRenderedPageBreak/>
        <w:t>3-</w:t>
      </w:r>
      <w:r w:rsidRPr="00D32D8B">
        <w:rPr>
          <w:rFonts w:ascii="Verdana" w:hAnsi="Verdana"/>
          <w:b/>
          <w:color w:val="000000" w:themeColor="text1"/>
          <w:sz w:val="14"/>
          <w:szCs w:val="14"/>
          <w:bdr w:val="none" w:sz="0" w:space="0" w:color="auto" w:frame="1"/>
        </w:rPr>
        <w:t>      </w:t>
      </w:r>
      <w:r w:rsidR="000E193B">
        <w:rPr>
          <w:rFonts w:ascii="Verdana" w:hAnsi="Verdana" w:cs="Calibri"/>
          <w:b/>
          <w:color w:val="000000" w:themeColor="text1"/>
          <w:bdr w:val="none" w:sz="0" w:space="0" w:color="auto" w:frame="1"/>
        </w:rPr>
        <w:t>NNA</w:t>
      </w:r>
      <w:r w:rsidRPr="00D32D8B">
        <w:rPr>
          <w:rFonts w:ascii="Verdana" w:hAnsi="Verdana" w:cs="Calibri"/>
          <w:b/>
          <w:color w:val="000000" w:themeColor="text1"/>
          <w:bdr w:val="none" w:sz="0" w:space="0" w:color="auto" w:frame="1"/>
        </w:rPr>
        <w:t xml:space="preserve"> en </w:t>
      </w:r>
      <w:r>
        <w:rPr>
          <w:rFonts w:ascii="Verdana" w:hAnsi="Verdana" w:cs="Calibri"/>
          <w:b/>
          <w:color w:val="000000" w:themeColor="text1"/>
          <w:bdr w:val="none" w:sz="0" w:space="0" w:color="auto" w:frame="1"/>
        </w:rPr>
        <w:t xml:space="preserve">estudio para un trasplante de </w:t>
      </w:r>
      <w:r w:rsidR="000E193B">
        <w:rPr>
          <w:rFonts w:ascii="Verdana" w:hAnsi="Verdana" w:cs="Calibri"/>
          <w:b/>
          <w:color w:val="000000" w:themeColor="text1"/>
          <w:bdr w:val="none" w:sz="0" w:space="0" w:color="auto" w:frame="1"/>
        </w:rPr>
        <w:t>órganos</w:t>
      </w:r>
      <w:r>
        <w:rPr>
          <w:rFonts w:ascii="Verdana" w:hAnsi="Verdana" w:cs="Calibri"/>
          <w:b/>
          <w:color w:val="000000" w:themeColor="text1"/>
          <w:bdr w:val="none" w:sz="0" w:space="0" w:color="auto" w:frame="1"/>
        </w:rPr>
        <w:t xml:space="preserve">, </w:t>
      </w:r>
      <w:r w:rsidR="00456C3D">
        <w:rPr>
          <w:rFonts w:ascii="Verdana" w:hAnsi="Verdana" w:cs="Calibri"/>
          <w:b/>
          <w:color w:val="000000" w:themeColor="text1"/>
          <w:bdr w:val="none" w:sz="0" w:space="0" w:color="auto" w:frame="1"/>
        </w:rPr>
        <w:t>t</w:t>
      </w:r>
      <w:r w:rsidRPr="00D32D8B">
        <w:rPr>
          <w:rFonts w:ascii="Verdana" w:hAnsi="Verdana" w:cs="Calibri"/>
          <w:b/>
          <w:color w:val="000000" w:themeColor="text1"/>
          <w:bdr w:val="none" w:sz="0" w:space="0" w:color="auto" w:frame="1"/>
        </w:rPr>
        <w:t xml:space="preserve">rasplantados o en </w:t>
      </w:r>
      <w:r>
        <w:rPr>
          <w:rFonts w:ascii="Verdana" w:hAnsi="Verdana" w:cs="Calibri"/>
          <w:b/>
          <w:color w:val="000000" w:themeColor="text1"/>
          <w:bdr w:val="none" w:sz="0" w:space="0" w:color="auto" w:frame="1"/>
        </w:rPr>
        <w:t>lista de espera</w:t>
      </w:r>
      <w:r w:rsidRPr="00D32D8B">
        <w:rPr>
          <w:rFonts w:ascii="Verdana" w:hAnsi="Verdana" w:cs="Calibri"/>
          <w:b/>
          <w:color w:val="000000" w:themeColor="text1"/>
          <w:bdr w:val="none" w:sz="0" w:space="0" w:color="auto" w:frame="1"/>
        </w:rPr>
        <w:t>.</w:t>
      </w:r>
    </w:p>
    <w:p w:rsidR="00D05D88" w:rsidRPr="00EB21DE" w:rsidRDefault="00D05D88" w:rsidP="00D05D88">
      <w:pPr>
        <w:rPr>
          <w:rFonts w:ascii="Verdana" w:hAnsi="Verdana"/>
        </w:rPr>
      </w:pPr>
      <w:r w:rsidRPr="00EB21DE">
        <w:rPr>
          <w:rFonts w:ascii="Verdana" w:hAnsi="Verdana"/>
        </w:rPr>
        <w:t>En la siguiente tabla se detalla</w:t>
      </w:r>
      <w:r w:rsidR="000E193B">
        <w:rPr>
          <w:rFonts w:ascii="Verdana" w:hAnsi="Verdana"/>
        </w:rPr>
        <w:t>n los NNA que se encuentran en c</w:t>
      </w:r>
      <w:r w:rsidRPr="00EB21DE">
        <w:rPr>
          <w:rFonts w:ascii="Verdana" w:hAnsi="Verdana"/>
        </w:rPr>
        <w:t>entros d</w:t>
      </w:r>
      <w:r w:rsidR="000E193B">
        <w:rPr>
          <w:rFonts w:ascii="Verdana" w:hAnsi="Verdana"/>
        </w:rPr>
        <w:t>e administración directa y OCAS</w:t>
      </w:r>
      <w:r w:rsidRPr="00EB21DE">
        <w:rPr>
          <w:rFonts w:ascii="Verdana" w:hAnsi="Verdana"/>
        </w:rPr>
        <w:t xml:space="preserve"> en etapa de estudio trasplante o post trasplante.</w:t>
      </w:r>
    </w:p>
    <w:p w:rsidR="00D05D88" w:rsidRPr="00EB21DE" w:rsidRDefault="00D05D88" w:rsidP="00D05D88">
      <w:pPr>
        <w:rPr>
          <w:rFonts w:ascii="Verdana" w:hAnsi="Verdana"/>
          <w:b/>
        </w:rPr>
      </w:pPr>
    </w:p>
    <w:tbl>
      <w:tblPr>
        <w:tblStyle w:val="Tablaconcuadrcula"/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2011"/>
        <w:gridCol w:w="1276"/>
        <w:gridCol w:w="2857"/>
      </w:tblGrid>
      <w:tr w:rsidR="00D05D88" w:rsidRPr="00EB21DE" w:rsidTr="00D245F3">
        <w:trPr>
          <w:jc w:val="center"/>
        </w:trPr>
        <w:tc>
          <w:tcPr>
            <w:tcW w:w="1386" w:type="dxa"/>
          </w:tcPr>
          <w:p w:rsidR="00D05D88" w:rsidRPr="00EB21DE" w:rsidRDefault="00D05D88" w:rsidP="00D245F3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EB21DE">
              <w:rPr>
                <w:rFonts w:ascii="Verdana" w:hAnsi="Verdana"/>
                <w:b/>
                <w:sz w:val="14"/>
                <w:szCs w:val="20"/>
              </w:rPr>
              <w:t>Etapa Trasplante</w:t>
            </w: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EB21DE">
              <w:rPr>
                <w:rFonts w:ascii="Verdana" w:hAnsi="Verdana"/>
                <w:b/>
                <w:sz w:val="14"/>
                <w:szCs w:val="20"/>
              </w:rPr>
              <w:t>REGIÓN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EB21DE">
              <w:rPr>
                <w:rFonts w:ascii="Verdana" w:hAnsi="Verdana"/>
                <w:b/>
                <w:sz w:val="14"/>
                <w:szCs w:val="20"/>
              </w:rPr>
              <w:t>Órgano para trasplante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EB21DE">
              <w:rPr>
                <w:rFonts w:ascii="Verdana" w:hAnsi="Verdana"/>
                <w:b/>
                <w:sz w:val="14"/>
                <w:szCs w:val="20"/>
              </w:rPr>
              <w:t>Programa Actual en Red de SENAME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 w:val="restart"/>
            <w:vAlign w:val="center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/>
                <w:bCs/>
                <w:sz w:val="16"/>
                <w:szCs w:val="20"/>
              </w:rPr>
              <w:t>ESTUDIO TRASPLANTE</w:t>
            </w: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IV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Hígado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RPM San José de Ovalle</w:t>
            </w:r>
          </w:p>
        </w:tc>
      </w:tr>
      <w:tr w:rsidR="00D05D88" w:rsidRPr="00EB21DE" w:rsidTr="00D245F3">
        <w:trPr>
          <w:trHeight w:val="224"/>
          <w:jc w:val="center"/>
        </w:trPr>
        <w:tc>
          <w:tcPr>
            <w:tcW w:w="1386" w:type="dxa"/>
            <w:vMerge/>
            <w:vAlign w:val="center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V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Riñón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FAE PRO Villa Alemana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  <w:vAlign w:val="center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IX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Riñón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CREAD Alborada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  <w:vAlign w:val="center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XII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Médula Ósea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PIB – Fundación Esperanza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 w:val="restart"/>
            <w:vAlign w:val="center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20"/>
              </w:rPr>
            </w:pPr>
            <w:r w:rsidRPr="00EB21DE">
              <w:rPr>
                <w:rFonts w:ascii="Verdana" w:hAnsi="Verdana"/>
                <w:b/>
                <w:sz w:val="16"/>
                <w:szCs w:val="20"/>
              </w:rPr>
              <w:t>POST TRASPLANTE</w:t>
            </w: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III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>Riñón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bCs/>
                <w:sz w:val="16"/>
                <w:szCs w:val="20"/>
              </w:rPr>
              <w:t xml:space="preserve">PRJ </w:t>
            </w:r>
            <w:proofErr w:type="spellStart"/>
            <w:r w:rsidRPr="00EB21DE">
              <w:rPr>
                <w:rFonts w:ascii="Verdana" w:hAnsi="Verdana"/>
                <w:bCs/>
                <w:sz w:val="16"/>
                <w:szCs w:val="20"/>
              </w:rPr>
              <w:t>Meretz</w:t>
            </w:r>
            <w:proofErr w:type="spellEnd"/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XIII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Riñón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OPD San Bernardo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XIII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Hígado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CREAD Casa Nacional del Niño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XIII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Hígado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bCs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CREAD Casa Nacional del Niño</w:t>
            </w:r>
          </w:p>
        </w:tc>
      </w:tr>
      <w:tr w:rsidR="00D05D88" w:rsidRPr="00EB21DE" w:rsidTr="00D245F3">
        <w:trPr>
          <w:jc w:val="center"/>
        </w:trPr>
        <w:tc>
          <w:tcPr>
            <w:tcW w:w="1386" w:type="dxa"/>
            <w:vMerge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11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XIII</w:t>
            </w:r>
          </w:p>
        </w:tc>
        <w:tc>
          <w:tcPr>
            <w:tcW w:w="1276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Riñón</w:t>
            </w:r>
          </w:p>
        </w:tc>
        <w:tc>
          <w:tcPr>
            <w:tcW w:w="2857" w:type="dxa"/>
          </w:tcPr>
          <w:p w:rsidR="00D05D88" w:rsidRPr="00EB21DE" w:rsidRDefault="00D05D88" w:rsidP="00D245F3">
            <w:pPr>
              <w:spacing w:line="276" w:lineRule="auto"/>
              <w:jc w:val="both"/>
              <w:rPr>
                <w:rFonts w:ascii="Verdana" w:hAnsi="Verdana"/>
                <w:sz w:val="16"/>
                <w:szCs w:val="20"/>
              </w:rPr>
            </w:pPr>
            <w:r w:rsidRPr="00EB21DE">
              <w:rPr>
                <w:rFonts w:ascii="Verdana" w:hAnsi="Verdana"/>
                <w:sz w:val="16"/>
                <w:szCs w:val="20"/>
              </w:rPr>
              <w:t>FAE Administración Directa RM</w:t>
            </w:r>
          </w:p>
        </w:tc>
      </w:tr>
    </w:tbl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201F1E"/>
        </w:rPr>
      </w:pP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</w:pPr>
      <w:r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>RECOMENDACIONES TÉCNICAS</w:t>
      </w:r>
      <w:r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 xml:space="preserve"> A CONSIDERAR</w:t>
      </w:r>
      <w:r w:rsidRPr="00EB21DE">
        <w:rPr>
          <w:rFonts w:ascii="Verdana" w:hAnsi="Verdana" w:cs="Calibri"/>
          <w:b/>
          <w:color w:val="000000" w:themeColor="text1"/>
          <w:sz w:val="22"/>
          <w:szCs w:val="22"/>
          <w:bdr w:val="none" w:sz="0" w:space="0" w:color="auto" w:frame="1"/>
        </w:rPr>
        <w:t>:</w:t>
      </w: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000000" w:themeColor="text1"/>
        </w:rPr>
      </w:pP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 En relación a los grupos identificados 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anteriormente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como grupo de riesgo de s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alud, se señalan a continuación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las recome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ndaciones técnicas a considerar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en el cuidado de cada uno de los NNA, en 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el contexto actual por c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ovid-19:</w:t>
      </w:r>
    </w:p>
    <w:p w:rsidR="00D05D88" w:rsidRPr="00EB21DE" w:rsidRDefault="00D05D88" w:rsidP="00D05D88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 w:themeColor="text1"/>
        </w:rPr>
      </w:pP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Contar con una F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icha 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diaria de Monitoreo de Síntomas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3C281F">
        <w:rPr>
          <w:rFonts w:ascii="Verdana" w:hAnsi="Verdana" w:cs="Calibri"/>
          <w:color w:val="000000" w:themeColor="text1"/>
          <w:sz w:val="22"/>
          <w:szCs w:val="22"/>
          <w:u w:val="single"/>
          <w:bdr w:val="none" w:sz="0" w:space="0" w:color="auto" w:frame="1"/>
        </w:rPr>
        <w:t>más específica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para los casos con d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iscapacidad intelectual</w:t>
      </w:r>
      <w:r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Elaborar una Ficha de Monitoreo de Signos para casos que no puedan referir sus síntomas o que el nivel de daño no permite la comunicación adecuada.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Elaborar flujo expedito con CESFAM – SEREMI de Salud, identificando en el territorio las Reside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ncias de Discapacidad y los NNA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en situación de complejidad crónica de salud.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Enfatizar en el punto 4 de la a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ctualización de definición de caso sospechoso para vigilancia epidemiológica ante brote de COVID-19 de MINSAL ORD. 2137 con fecha 05 de junio del 2020, y que refiere: “Búsqueda activa de c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asos asintomáticos: Se estudiará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n, en coordinación con el equipo de epidemiología SEREMI correspondiente, personas con alto riesgo de haber estado expuestas a SARS –CoV-2, en contexto de brotes: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a)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Persona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l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de salud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b)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Residente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s y trabajadores de casa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s de reposo, recinto</w:t>
      </w:r>
      <w:r w:rsidR="000E193B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s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penitenciarios u otros recintos de larga estadía”.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En el sentido anterior se hace necesario disponer de las coordinaciones locales con el </w:t>
      </w:r>
      <w:proofErr w:type="spellStart"/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intersector</w:t>
      </w:r>
      <w:proofErr w:type="spellEnd"/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 xml:space="preserve"> de Salud y SEREMI, respecto de la aplicación de PCR para esta población.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Poder solicitar apoyo en capacitación a CESFAM o Seremi respecto de detección de síntomas, signos y tomar acciones preventivas.</w:t>
      </w:r>
    </w:p>
    <w:p w:rsidR="00D05D88" w:rsidRPr="00EB21DE" w:rsidRDefault="00D05D88" w:rsidP="00D05D88">
      <w:pPr>
        <w:pStyle w:val="xmsolistparagraph"/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Verdana" w:hAnsi="Verdana"/>
          <w:color w:val="000000" w:themeColor="text1"/>
        </w:rPr>
      </w:pP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-</w:t>
      </w:r>
      <w:r w:rsidRPr="00EB21DE">
        <w:rPr>
          <w:rFonts w:ascii="Verdana" w:hAnsi="Verdana"/>
          <w:color w:val="000000" w:themeColor="text1"/>
          <w:sz w:val="14"/>
          <w:szCs w:val="14"/>
          <w:bdr w:val="none" w:sz="0" w:space="0" w:color="auto" w:frame="1"/>
        </w:rPr>
        <w:t>       </w:t>
      </w:r>
      <w:r w:rsidRPr="00EB21DE">
        <w:rPr>
          <w:rFonts w:ascii="Verdana" w:hAnsi="Verdana" w:cs="Calibri"/>
          <w:color w:val="000000" w:themeColor="text1"/>
          <w:sz w:val="22"/>
          <w:szCs w:val="22"/>
          <w:bdr w:val="none" w:sz="0" w:space="0" w:color="auto" w:frame="1"/>
        </w:rPr>
        <w:t>Solicitar apoyo en la toma de medidas de cuarentena y aislamiento según las características de cada residencia.</w:t>
      </w:r>
    </w:p>
    <w:p w:rsidR="00914E29" w:rsidRPr="00D05D88" w:rsidRDefault="00D05D88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</w:t>
      </w:r>
    </w:p>
    <w:p w:rsidR="00D15608" w:rsidRDefault="00D15608"/>
    <w:sectPr w:rsidR="00D15608" w:rsidSect="00D245F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BF1"/>
    <w:multiLevelType w:val="hybridMultilevel"/>
    <w:tmpl w:val="D9BA4D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23D7E"/>
    <w:multiLevelType w:val="hybridMultilevel"/>
    <w:tmpl w:val="BA56E5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ABC"/>
    <w:multiLevelType w:val="hybridMultilevel"/>
    <w:tmpl w:val="1958BD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309C3"/>
    <w:multiLevelType w:val="hybridMultilevel"/>
    <w:tmpl w:val="B2AE2F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03845"/>
    <w:multiLevelType w:val="hybridMultilevel"/>
    <w:tmpl w:val="EB3284C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C5990"/>
    <w:multiLevelType w:val="hybridMultilevel"/>
    <w:tmpl w:val="6D862594"/>
    <w:lvl w:ilvl="0" w:tplc="6852A50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A4BA4"/>
    <w:multiLevelType w:val="hybridMultilevel"/>
    <w:tmpl w:val="47088BF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29"/>
    <w:rsid w:val="00091255"/>
    <w:rsid w:val="000E193B"/>
    <w:rsid w:val="00334F51"/>
    <w:rsid w:val="0033626C"/>
    <w:rsid w:val="00433C1C"/>
    <w:rsid w:val="00444A6C"/>
    <w:rsid w:val="00456C3D"/>
    <w:rsid w:val="00516548"/>
    <w:rsid w:val="005461B6"/>
    <w:rsid w:val="005A61EA"/>
    <w:rsid w:val="00641A7F"/>
    <w:rsid w:val="00697B28"/>
    <w:rsid w:val="00735245"/>
    <w:rsid w:val="007733B1"/>
    <w:rsid w:val="007945D6"/>
    <w:rsid w:val="007D368B"/>
    <w:rsid w:val="00914E29"/>
    <w:rsid w:val="00942F91"/>
    <w:rsid w:val="00973A4E"/>
    <w:rsid w:val="00B50F23"/>
    <w:rsid w:val="00C12FC0"/>
    <w:rsid w:val="00C14C05"/>
    <w:rsid w:val="00D023B3"/>
    <w:rsid w:val="00D05D88"/>
    <w:rsid w:val="00D15608"/>
    <w:rsid w:val="00D245F3"/>
    <w:rsid w:val="00D70C24"/>
    <w:rsid w:val="00DA1E01"/>
    <w:rsid w:val="00F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A950B-3DB8-4EC7-80F9-D14D544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E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05"/>
    <w:rPr>
      <w:rFonts w:ascii="Tahoma" w:eastAsia="Calibri" w:hAnsi="Tahoma" w:cs="Tahoma"/>
      <w:sz w:val="16"/>
      <w:szCs w:val="16"/>
      <w:lang w:val="es-ES"/>
    </w:rPr>
  </w:style>
  <w:style w:type="paragraph" w:customStyle="1" w:styleId="Normal1">
    <w:name w:val="Normal1"/>
    <w:rsid w:val="005A61EA"/>
    <w:pPr>
      <w:spacing w:after="0"/>
    </w:pPr>
    <w:rPr>
      <w:rFonts w:ascii="Arial" w:eastAsia="Arial" w:hAnsi="Arial" w:cs="Arial"/>
      <w:lang w:eastAsia="es-CL"/>
    </w:rPr>
  </w:style>
  <w:style w:type="character" w:styleId="Hipervnculo">
    <w:name w:val="Hyperlink"/>
    <w:basedOn w:val="Fuentedeprrafopredeter"/>
    <w:uiPriority w:val="99"/>
    <w:unhideWhenUsed/>
    <w:rsid w:val="005A61E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customStyle="1" w:styleId="xmsolistparagraph">
    <w:name w:val="x_msolistparagraph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1"/>
    <w:qFormat/>
    <w:rsid w:val="00D05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m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name.cl/web/index.php/plan-coronavirus-sena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2685</Words>
  <Characters>14638</Characters>
  <Application>Microsoft Office Word</Application>
  <DocSecurity>0</DocSecurity>
  <Lines>232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hugo.marivil</dc:creator>
  <cp:lastModifiedBy>Usuario</cp:lastModifiedBy>
  <cp:revision>6</cp:revision>
  <dcterms:created xsi:type="dcterms:W3CDTF">2020-09-09T19:28:00Z</dcterms:created>
  <dcterms:modified xsi:type="dcterms:W3CDTF">2020-09-10T19:37:00Z</dcterms:modified>
</cp:coreProperties>
</file>